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jc w:val="center"/>
        <w:spacing w:line="360" w:lineRule="auto"/>
        <w:rPr>
          <w:rFonts w:hint="eastAsia" w:ascii="宋体" w:hAnsi="宋体"/>
          <w:b/>
          <w:color w:val="auto"/>
          <w:sz w:val="84"/>
          <w:highlight w:val="none"/>
        </w:rPr>
      </w:pPr>
      <w:r>
        <w:rPr>
          <w:rFonts w:hint="eastAsia" w:ascii="宋体" w:hAnsi="宋体"/>
          <w:b/>
          <w:color w:val="auto"/>
          <w:sz w:val="84"/>
          <w:highlight w:val="none"/>
        </w:rPr>
        <w:t xml:space="preserve">磋  商  文  件</w:t>
      </w:r>
      <w:r>
        <w:rPr>
          <w:highlight w:val="none"/>
        </w:rPr>
      </w:r>
      <w:r/>
    </w:p>
    <w:p>
      <w:pPr>
        <w:jc w:val="center"/>
        <w:spacing w:line="360" w:lineRule="auto"/>
        <w:rPr>
          <w:rFonts w:hint="eastAsia" w:ascii="宋体" w:hAnsi="宋体"/>
          <w:color w:val="auto"/>
          <w:sz w:val="32"/>
          <w:highlight w:val="none"/>
        </w:rPr>
      </w:pPr>
      <w:r>
        <w:rPr>
          <w:rFonts w:hint="eastAsia" w:ascii="宋体" w:hAnsi="宋体"/>
          <w:color w:val="auto"/>
          <w:sz w:val="32"/>
          <w:highlight w:val="none"/>
        </w:rPr>
      </w:r>
      <w:r>
        <w:rPr>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rPr>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rPr>
          <w:highlight w:val="none"/>
        </w:rPr>
      </w:r>
      <w:r/>
    </w:p>
    <w:p>
      <w:pPr>
        <w:ind w:firstLine="723"/>
        <w:spacing w:line="360" w:lineRule="auto"/>
        <w:rPr>
          <w:rFonts w:hint="eastAsia" w:ascii="宋体" w:hAnsi="宋体" w:eastAsia="宋体"/>
          <w:b/>
          <w:color w:val="auto"/>
          <w:sz w:val="36"/>
          <w:highlight w:val="none"/>
        </w:rPr>
      </w:pPr>
      <w:r>
        <w:rPr>
          <w:rFonts w:hint="eastAsia" w:ascii="宋体" w:hAnsi="宋体"/>
          <w:b/>
          <w:color w:val="auto"/>
          <w:sz w:val="36"/>
          <w:highlight w:val="none"/>
        </w:rPr>
        <w:t xml:space="preserve">项目编号：JSZC-321183-JSDZ-C2025-0230</w:t>
      </w:r>
      <w:r>
        <w:rPr>
          <w:rFonts w:hint="eastAsia" w:ascii="宋体" w:hAnsi="宋体"/>
          <w:b/>
          <w:color w:val="auto"/>
          <w:sz w:val="36"/>
          <w:highlight w:val="none"/>
          <w:lang w:val="en-US" w:eastAsia="zh-CN"/>
        </w:rPr>
        <w:t xml:space="preserve"> </w:t>
      </w:r>
      <w:r>
        <w:rPr>
          <w:highlight w:val="none"/>
        </w:rPr>
      </w:r>
      <w:r/>
    </w:p>
    <w:p>
      <w:pPr>
        <w:rPr>
          <w:color w:val="auto"/>
          <w:highlight w:val="none"/>
        </w:rPr>
      </w:pPr>
      <w:r>
        <w:rPr>
          <w:color w:val="auto"/>
          <w:highlight w:val="none"/>
        </w:rPr>
      </w:r>
      <w:r>
        <w:rPr>
          <w:highlight w:val="none"/>
        </w:rPr>
      </w:r>
      <w:r/>
    </w:p>
    <w:p>
      <w:pPr>
        <w:ind w:right="630"/>
        <w:spacing w:line="360" w:lineRule="auto"/>
        <w:rPr>
          <w:rFonts w:hint="eastAsia" w:ascii="宋体" w:hAnsi="宋体"/>
          <w:b/>
          <w:color w:val="auto"/>
          <w:sz w:val="36"/>
          <w:highlight w:val="none"/>
        </w:rPr>
      </w:pPr>
      <w:r>
        <w:rPr>
          <w:rFonts w:hint="eastAsia" w:ascii="宋体" w:hAnsi="宋体"/>
          <w:b/>
          <w:color w:val="auto"/>
          <w:sz w:val="36"/>
          <w:highlight w:val="none"/>
        </w:rPr>
      </w:r>
      <w:r>
        <w:rPr>
          <w:highlight w:val="none"/>
        </w:rPr>
      </w:r>
      <w:r/>
    </w:p>
    <w:p>
      <w:pPr>
        <w:pStyle w:val="811"/>
        <w:rPr>
          <w:color w:val="auto"/>
          <w:highlight w:val="none"/>
        </w:rPr>
      </w:pPr>
      <w:r>
        <w:rPr>
          <w:color w:val="auto"/>
          <w:highlight w:val="none"/>
        </w:rPr>
      </w:r>
      <w:r>
        <w:rPr>
          <w:highlight w:val="none"/>
        </w:rPr>
      </w:r>
      <w:r/>
    </w:p>
    <w:p>
      <w:pPr>
        <w:pStyle w:val="811"/>
        <w:rPr>
          <w:color w:val="auto"/>
          <w:highlight w:val="none"/>
        </w:rPr>
      </w:pPr>
      <w:r>
        <w:rPr>
          <w:color w:val="auto"/>
          <w:highlight w:val="none"/>
        </w:rPr>
      </w:r>
      <w:r>
        <w:rPr>
          <w:highlight w:val="none"/>
        </w:rPr>
      </w:r>
      <w:r/>
    </w:p>
    <w:p>
      <w:pPr>
        <w:ind w:right="-84" w:hanging="141"/>
        <w:jc w:val="center"/>
        <w:spacing w:line="360" w:lineRule="auto"/>
        <w:rPr>
          <w:rFonts w:hint="eastAsia" w:ascii="宋体" w:hAnsi="宋体" w:eastAsia="宋体"/>
          <w:b/>
          <w:color w:val="auto"/>
          <w:sz w:val="36"/>
          <w:highlight w:val="none"/>
        </w:rPr>
      </w:pP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 xml:space="preserve">项目名称：</w:t>
      </w:r>
      <w:r>
        <w:rPr>
          <w:rFonts w:hint="eastAsia" w:ascii="宋体" w:hAnsi="宋体"/>
          <w:b/>
          <w:color w:val="auto"/>
          <w:sz w:val="36"/>
          <w:highlight w:val="none"/>
          <w:lang w:eastAsia="zh-CN"/>
        </w:rPr>
        <w:t xml:space="preserve">句容市下蜀镇江家村312国道两侧倾倒建筑渣土区域生态环境综合整治项目 </w:t>
      </w:r>
      <w:r>
        <w:rPr>
          <w:highlight w:val="none"/>
        </w:rPr>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rPr>
          <w:highlight w:val="none"/>
        </w:rPr>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rPr>
          <w:highlight w:val="none"/>
        </w:rPr>
      </w:r>
      <w:r/>
    </w:p>
    <w:p>
      <w:pPr>
        <w:pStyle w:val="811"/>
        <w:rPr>
          <w:color w:val="auto"/>
          <w:highlight w:val="none"/>
        </w:rPr>
      </w:pPr>
      <w:r>
        <w:rPr>
          <w:color w:val="auto"/>
          <w:highlight w:val="none"/>
        </w:rPr>
      </w:r>
      <w:r>
        <w:rPr>
          <w:highlight w:val="none"/>
        </w:rPr>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rPr>
          <w:highlight w:val="none"/>
        </w:rPr>
      </w:r>
      <w:r/>
    </w:p>
    <w:p>
      <w:pPr>
        <w:pStyle w:val="811"/>
        <w:rPr>
          <w:color w:val="auto"/>
          <w:highlight w:val="none"/>
        </w:rPr>
      </w:pPr>
      <w:r>
        <w:rPr>
          <w:color w:val="auto"/>
          <w:highlight w:val="none"/>
        </w:rPr>
      </w:r>
      <w:r>
        <w:rPr>
          <w:highlight w:val="none"/>
        </w:rPr>
      </w:r>
      <w:r/>
    </w:p>
    <w:p>
      <w:pPr>
        <w:spacing w:line="360" w:lineRule="auto"/>
        <w:rPr>
          <w:rFonts w:hint="eastAsia" w:ascii="宋体" w:hAnsi="宋体"/>
          <w:b/>
          <w:color w:val="auto"/>
          <w:sz w:val="36"/>
          <w:highlight w:val="none"/>
        </w:rPr>
      </w:pPr>
      <w:r>
        <w:rPr>
          <w:rFonts w:hint="eastAsia" w:ascii="宋体" w:hAnsi="宋体"/>
          <w:b/>
          <w:color w:val="auto"/>
          <w:sz w:val="36"/>
          <w:highlight w:val="none"/>
        </w:rPr>
      </w:r>
      <w:r>
        <w:rPr>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rPr>
          <w:highlight w:val="none"/>
        </w:rPr>
      </w:r>
      <w:r/>
    </w:p>
    <w:p>
      <w:pPr>
        <w:jc w:val="center"/>
        <w:spacing w:line="360" w:lineRule="auto"/>
        <w:rPr>
          <w:rFonts w:hint="eastAsia" w:ascii="宋体" w:hAnsi="宋体"/>
          <w:b/>
          <w:color w:val="auto"/>
          <w:sz w:val="36"/>
          <w:szCs w:val="36"/>
          <w:highlight w:val="none"/>
        </w:rPr>
      </w:pPr>
      <w:r>
        <w:rPr>
          <w:highlight w:val="none"/>
        </w:rPr>
      </w:r>
      <w:bookmarkStart w:id="0" w:name="EBe098a072a19f453e8556e008bace2ce7"/>
      <w:r>
        <w:rPr>
          <w:rFonts w:hint="eastAsia" w:ascii="宋体" w:hAnsi="宋体"/>
          <w:b/>
          <w:color w:val="auto"/>
          <w:sz w:val="36"/>
          <w:szCs w:val="36"/>
          <w:highlight w:val="none"/>
        </w:rPr>
        <w:t xml:space="preserve">大洲设计咨询集团有限公司</w:t>
      </w:r>
      <w:r>
        <w:rPr>
          <w:highlight w:val="none"/>
        </w:rPr>
      </w:r>
      <w:r/>
    </w:p>
    <w:p>
      <w:pPr>
        <w:jc w:val="center"/>
        <w:spacing w:line="360" w:lineRule="auto"/>
        <w:rPr>
          <w:rFonts w:hint="default" w:ascii="宋体" w:hAnsi="宋体" w:eastAsia="宋体"/>
          <w:b/>
          <w:color w:val="auto"/>
          <w:sz w:val="36"/>
          <w:szCs w:val="36"/>
          <w:highlight w:val="none"/>
        </w:rPr>
      </w:pPr>
      <w:r>
        <w:rPr>
          <w:rFonts w:hint="eastAsia" w:ascii="宋体" w:hAnsi="宋体"/>
          <w:b/>
          <w:color w:val="auto"/>
          <w:sz w:val="36"/>
          <w:szCs w:val="36"/>
          <w:highlight w:val="none"/>
        </w:rPr>
        <w:t xml:space="preserve">2025-</w:t>
      </w:r>
      <w:bookmarkEnd w:id="0"/>
      <w:r>
        <w:rPr>
          <w:rFonts w:hint="eastAsia" w:ascii="宋体" w:hAnsi="宋体"/>
          <w:b/>
          <w:color w:val="auto"/>
          <w:sz w:val="36"/>
          <w:szCs w:val="36"/>
          <w:highlight w:val="none"/>
          <w:lang w:val="en-US" w:eastAsia="zh-CN"/>
        </w:rPr>
        <w:t xml:space="preserve">12</w:t>
      </w:r>
      <w:r>
        <w:rPr>
          <w:highlight w:val="none"/>
        </w:rPr>
      </w:r>
      <w:r/>
    </w:p>
    <w:p>
      <w:pPr>
        <w:pStyle w:val="811"/>
        <w:rPr>
          <w:color w:val="auto"/>
          <w:highlight w:val="none"/>
        </w:rPr>
      </w:pPr>
      <w:r>
        <w:rPr>
          <w:color w:val="auto"/>
          <w:highlight w:val="none"/>
        </w:rPr>
      </w:r>
      <w:r>
        <w:rPr>
          <w:highlight w:val="none"/>
        </w:rPr>
      </w:r>
      <w:r/>
    </w:p>
    <w:p>
      <w:pPr>
        <w:jc w:val="center"/>
        <w:pageBreakBefore/>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磋商文件目录</w:t>
      </w:r>
      <w:r>
        <w:rPr>
          <w:highlight w:val="none"/>
        </w:rPr>
      </w:r>
      <w:r/>
    </w:p>
    <w:p>
      <w:pPr>
        <w:pStyle w:val="1034"/>
        <w:ind w:left="-283" w:firstLine="321"/>
        <w:tabs>
          <w:tab w:val="right" w:pos="9356" w:leader="dot"/>
        </w:tabs>
        <w:rPr>
          <w:rStyle w:val="1042"/>
          <w:rFonts w:hint="eastAsia" w:ascii="宋体" w:hAnsi="宋体"/>
          <w:color w:val="auto"/>
          <w:sz w:val="32"/>
          <w:szCs w:val="32"/>
          <w:highlight w:val="none"/>
        </w:rPr>
      </w:pPr>
      <w:r>
        <w:rPr>
          <w:rStyle w:val="1042"/>
          <w:rFonts w:ascii="宋体" w:hAnsi="宋体"/>
          <w:color w:val="auto"/>
          <w:sz w:val="32"/>
          <w:szCs w:val="32"/>
          <w:highlight w:val="none"/>
        </w:rPr>
        <w:fldChar w:fldCharType="begin"/>
      </w:r>
      <w:r>
        <w:rPr>
          <w:rStyle w:val="1042"/>
          <w:rFonts w:ascii="宋体" w:hAnsi="宋体"/>
          <w:color w:val="auto"/>
          <w:sz w:val="32"/>
          <w:szCs w:val="32"/>
          <w:highlight w:val="none"/>
        </w:rPr>
        <w:instrText xml:space="preserve"> TOC \o "1-3" \h \z \u </w:instrText>
      </w:r>
      <w:r>
        <w:rPr>
          <w:rStyle w:val="1042"/>
          <w:rFonts w:ascii="宋体" w:hAnsi="宋体"/>
          <w:color w:val="auto"/>
          <w:sz w:val="32"/>
          <w:szCs w:val="32"/>
          <w:highlight w:val="none"/>
        </w:rPr>
        <w:fldChar w:fldCharType="separate"/>
      </w:r>
      <w:r>
        <w:rPr>
          <w:color w:val="auto"/>
          <w:highlight w:val="none"/>
        </w:rPr>
        <w:fldChar w:fldCharType="begin"/>
      </w:r>
      <w:r>
        <w:rPr>
          <w:color w:val="auto"/>
          <w:highlight w:val="none"/>
        </w:rPr>
        <w:instrText xml:space="preserve"> HYPERLINK \l "_Toc256000000" \o "#_Toc256000000" </w:instrText>
      </w:r>
      <w:r>
        <w:rPr>
          <w:color w:val="auto"/>
          <w:highlight w:val="none"/>
        </w:rPr>
        <w:fldChar w:fldCharType="separate"/>
      </w:r>
      <w:r>
        <w:rPr>
          <w:rStyle w:val="1042"/>
          <w:rFonts w:hint="eastAsia" w:ascii="宋体" w:hAnsi="宋体"/>
          <w:color w:val="auto"/>
          <w:sz w:val="32"/>
          <w:szCs w:val="32"/>
          <w:highlight w:val="none"/>
        </w:rPr>
        <w:t xml:space="preserve">第一部分  磋商邀请</w:t>
      </w:r>
      <w:r>
        <w:rPr>
          <w:rStyle w:val="1042"/>
          <w:rFonts w:ascii="宋体" w:hAnsi="宋体"/>
          <w:color w:val="auto"/>
          <w:sz w:val="32"/>
          <w:szCs w:val="32"/>
          <w:highlight w:val="none"/>
        </w:rPr>
        <w:tab/>
      </w:r>
      <w:r>
        <w:rPr>
          <w:rStyle w:val="1042"/>
          <w:rFonts w:hint="eastAsia" w:ascii="宋体" w:hAnsi="宋体"/>
          <w:color w:val="auto"/>
          <w:sz w:val="32"/>
          <w:szCs w:val="32"/>
          <w:highlight w:val="none"/>
        </w:rPr>
        <w:t xml:space="preserve">3</w:t>
      </w:r>
      <w:r>
        <w:rPr>
          <w:rStyle w:val="1042"/>
          <w:rFonts w:hint="eastAsia" w:ascii="宋体" w:hAnsi="宋体"/>
          <w:color w:val="auto"/>
          <w:sz w:val="32"/>
          <w:szCs w:val="32"/>
          <w:highlight w:val="none"/>
        </w:rPr>
        <w:fldChar w:fldCharType="end"/>
      </w:r>
      <w:r>
        <w:rPr>
          <w:highlight w:val="none"/>
        </w:rPr>
      </w:r>
      <w:r/>
    </w:p>
    <w:p>
      <w:pPr>
        <w:pStyle w:val="1034"/>
        <w:ind w:left="-283" w:firstLine="321"/>
        <w:tabs>
          <w:tab w:val="right" w:pos="9356" w:leader="dot"/>
        </w:tabs>
        <w:rPr>
          <w:rStyle w:val="1042"/>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"_Toc256000010" \o "#_Toc256000010" </w:instrText>
      </w:r>
      <w:r>
        <w:rPr>
          <w:color w:val="auto"/>
          <w:highlight w:val="none"/>
        </w:rPr>
        <w:fldChar w:fldCharType="separate"/>
      </w:r>
      <w:r>
        <w:rPr>
          <w:rStyle w:val="1042"/>
          <w:rFonts w:hint="eastAsia" w:ascii="宋体" w:hAnsi="宋体"/>
          <w:color w:val="auto"/>
          <w:sz w:val="32"/>
          <w:szCs w:val="32"/>
          <w:highlight w:val="none"/>
        </w:rPr>
        <w:t xml:space="preserve">第二部分  供应商须知</w:t>
      </w:r>
      <w:r>
        <w:rPr>
          <w:rStyle w:val="1042"/>
          <w:rFonts w:ascii="宋体" w:hAnsi="宋体"/>
          <w:color w:val="auto"/>
          <w:sz w:val="32"/>
          <w:szCs w:val="32"/>
          <w:highlight w:val="none"/>
        </w:rPr>
        <w:tab/>
      </w:r>
      <w:r>
        <w:rPr>
          <w:rStyle w:val="1042"/>
          <w:rFonts w:hint="eastAsia" w:ascii="宋体" w:hAnsi="宋体"/>
          <w:color w:val="auto"/>
          <w:sz w:val="32"/>
          <w:szCs w:val="32"/>
          <w:highlight w:val="none"/>
        </w:rPr>
        <w:t xml:space="preserve">8</w:t>
      </w:r>
      <w:r>
        <w:rPr>
          <w:rStyle w:val="1042"/>
          <w:rFonts w:hint="eastAsia" w:ascii="宋体" w:hAnsi="宋体"/>
          <w:color w:val="auto"/>
          <w:sz w:val="32"/>
          <w:szCs w:val="32"/>
          <w:highlight w:val="none"/>
        </w:rPr>
        <w:fldChar w:fldCharType="end"/>
      </w:r>
      <w:r>
        <w:rPr>
          <w:highlight w:val="none"/>
        </w:rPr>
      </w:r>
      <w:r/>
    </w:p>
    <w:p>
      <w:pPr>
        <w:pStyle w:val="1034"/>
        <w:ind w:left="-283" w:firstLine="321"/>
        <w:tabs>
          <w:tab w:val="right" w:pos="9356" w:leader="dot"/>
        </w:tabs>
        <w:rPr>
          <w:rStyle w:val="1042"/>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"_Toc256000055" \o "#_Toc256000055" </w:instrText>
      </w:r>
      <w:r>
        <w:rPr>
          <w:color w:val="auto"/>
          <w:highlight w:val="none"/>
        </w:rPr>
        <w:fldChar w:fldCharType="separate"/>
      </w:r>
      <w:r>
        <w:rPr>
          <w:rStyle w:val="1042"/>
          <w:rFonts w:hint="eastAsia" w:ascii="宋体" w:hAnsi="宋体"/>
          <w:color w:val="auto"/>
          <w:sz w:val="32"/>
          <w:szCs w:val="32"/>
          <w:highlight w:val="none"/>
        </w:rPr>
        <w:t xml:space="preserve">第三部分  拟签订的合同文本</w:t>
      </w:r>
      <w:r>
        <w:rPr>
          <w:rStyle w:val="1042"/>
          <w:rFonts w:ascii="宋体" w:hAnsi="宋体"/>
          <w:color w:val="auto"/>
          <w:sz w:val="32"/>
          <w:szCs w:val="32"/>
          <w:highlight w:val="none"/>
        </w:rPr>
        <w:tab/>
      </w:r>
      <w:r>
        <w:rPr>
          <w:rStyle w:val="1042"/>
          <w:rFonts w:hint="eastAsia" w:ascii="宋体" w:hAnsi="宋体"/>
          <w:color w:val="auto"/>
          <w:sz w:val="32"/>
          <w:szCs w:val="32"/>
          <w:highlight w:val="none"/>
        </w:rPr>
        <w:t xml:space="preserve">25</w:t>
      </w:r>
      <w:r>
        <w:rPr>
          <w:rStyle w:val="1042"/>
          <w:rFonts w:hint="eastAsia" w:ascii="宋体" w:hAnsi="宋体"/>
          <w:color w:val="auto"/>
          <w:sz w:val="32"/>
          <w:szCs w:val="32"/>
          <w:highlight w:val="none"/>
        </w:rPr>
        <w:fldChar w:fldCharType="end"/>
      </w:r>
      <w:r>
        <w:rPr>
          <w:highlight w:val="none"/>
        </w:rPr>
      </w:r>
      <w:r/>
    </w:p>
    <w:p>
      <w:pPr>
        <w:pStyle w:val="1034"/>
        <w:ind w:left="-283" w:firstLine="321"/>
        <w:tabs>
          <w:tab w:val="right" w:pos="9356" w:leader="dot"/>
        </w:tabs>
        <w:rPr>
          <w:rStyle w:val="1042"/>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"_Toc256000056" \o "#_Toc256000056" </w:instrText>
      </w:r>
      <w:r>
        <w:rPr>
          <w:color w:val="auto"/>
          <w:highlight w:val="none"/>
        </w:rPr>
        <w:fldChar w:fldCharType="separate"/>
      </w:r>
      <w:r>
        <w:rPr>
          <w:rStyle w:val="1042"/>
          <w:rFonts w:ascii="宋体" w:hAnsi="宋体"/>
          <w:color w:val="auto"/>
          <w:sz w:val="32"/>
          <w:szCs w:val="32"/>
          <w:highlight w:val="none"/>
        </w:rPr>
        <w:t xml:space="preserve">第四部分</w:t>
      </w:r>
      <w:r>
        <w:rPr>
          <w:rStyle w:val="1042"/>
          <w:rFonts w:hint="eastAsia" w:ascii="宋体" w:hAnsi="宋体"/>
          <w:color w:val="auto"/>
          <w:sz w:val="32"/>
          <w:szCs w:val="32"/>
          <w:highlight w:val="none"/>
        </w:rPr>
        <w:t xml:space="preserve">  采购需求</w:t>
      </w:r>
      <w:r>
        <w:rPr>
          <w:rStyle w:val="1042"/>
          <w:rFonts w:ascii="宋体" w:hAnsi="宋体"/>
          <w:color w:val="auto"/>
          <w:sz w:val="32"/>
          <w:szCs w:val="32"/>
          <w:highlight w:val="none"/>
        </w:rPr>
        <w:tab/>
      </w:r>
      <w:r>
        <w:rPr>
          <w:rStyle w:val="1042"/>
          <w:rFonts w:hint="eastAsia" w:ascii="宋体" w:hAnsi="宋体"/>
          <w:color w:val="auto"/>
          <w:sz w:val="32"/>
          <w:szCs w:val="32"/>
          <w:highlight w:val="none"/>
        </w:rPr>
        <w:t xml:space="preserve">39</w:t>
      </w:r>
      <w:r>
        <w:rPr>
          <w:rStyle w:val="1042"/>
          <w:rFonts w:hint="eastAsia" w:ascii="宋体" w:hAnsi="宋体"/>
          <w:color w:val="auto"/>
          <w:sz w:val="32"/>
          <w:szCs w:val="32"/>
          <w:highlight w:val="none"/>
        </w:rPr>
        <w:fldChar w:fldCharType="end"/>
      </w:r>
      <w:r>
        <w:rPr>
          <w:highlight w:val="none"/>
        </w:rPr>
      </w:r>
      <w:r/>
    </w:p>
    <w:p>
      <w:pPr>
        <w:pStyle w:val="1034"/>
        <w:ind w:left="-283" w:firstLine="321"/>
        <w:tabs>
          <w:tab w:val="right" w:pos="9356" w:leader="dot"/>
        </w:tabs>
        <w:rPr>
          <w:rStyle w:val="1042"/>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"_Toc256000057" \o "#_Toc256000057" </w:instrText>
      </w:r>
      <w:r>
        <w:rPr>
          <w:color w:val="auto"/>
          <w:highlight w:val="none"/>
        </w:rPr>
        <w:fldChar w:fldCharType="separate"/>
      </w:r>
      <w:r>
        <w:rPr>
          <w:rStyle w:val="1042"/>
          <w:rFonts w:hint="eastAsia" w:ascii="宋体" w:hAnsi="宋体"/>
          <w:color w:val="auto"/>
          <w:sz w:val="32"/>
          <w:szCs w:val="32"/>
          <w:highlight w:val="none"/>
        </w:rPr>
        <w:t xml:space="preserve">第五部分  磋商及评审</w:t>
      </w:r>
      <w:bookmarkStart w:id="1" w:name="_Hlt145267068"/>
      <w:r>
        <w:rPr>
          <w:rStyle w:val="1042"/>
          <w:rFonts w:ascii="宋体" w:hAnsi="宋体"/>
          <w:color w:val="auto"/>
          <w:sz w:val="32"/>
          <w:szCs w:val="32"/>
          <w:highlight w:val="none"/>
        </w:rPr>
        <w:tab/>
      </w:r>
      <w:bookmarkEnd w:id="1"/>
      <w:r>
        <w:rPr>
          <w:rStyle w:val="1042"/>
          <w:rFonts w:hint="eastAsia" w:ascii="宋体" w:hAnsi="宋体"/>
          <w:color w:val="auto"/>
          <w:sz w:val="32"/>
          <w:szCs w:val="32"/>
          <w:highlight w:val="none"/>
        </w:rPr>
        <w:t xml:space="preserve">44</w:t>
      </w:r>
      <w:r>
        <w:rPr>
          <w:rStyle w:val="1042"/>
          <w:rFonts w:hint="eastAsia" w:ascii="宋体" w:hAnsi="宋体"/>
          <w:color w:val="auto"/>
          <w:sz w:val="32"/>
          <w:szCs w:val="32"/>
          <w:highlight w:val="none"/>
        </w:rPr>
        <w:fldChar w:fldCharType="end"/>
      </w:r>
      <w:r>
        <w:rPr>
          <w:highlight w:val="none"/>
        </w:rPr>
      </w:r>
      <w:r/>
    </w:p>
    <w:p>
      <w:pPr>
        <w:pStyle w:val="1034"/>
        <w:ind w:left="-283" w:firstLine="321"/>
        <w:tabs>
          <w:tab w:val="right" w:pos="9356" w:leader="dot"/>
        </w:tabs>
        <w:rPr>
          <w:rStyle w:val="1042"/>
          <w:rFonts w:hint="eastAsia" w:ascii="宋体" w:hAnsi="宋体"/>
          <w:color w:val="auto"/>
          <w:sz w:val="32"/>
          <w:szCs w:val="32"/>
          <w:highlight w:val="none"/>
          <w:u w:val="none"/>
        </w:rPr>
      </w:pPr>
      <w:r>
        <w:rPr>
          <w:rStyle w:val="1042"/>
          <w:rFonts w:hint="eastAsia" w:ascii="宋体" w:hAnsi="宋体"/>
          <w:color w:val="auto"/>
          <w:sz w:val="32"/>
          <w:szCs w:val="32"/>
          <w:highlight w:val="none"/>
          <w:u w:val="none"/>
        </w:rPr>
        <w:t xml:space="preserve">第六部分  磋商响应文件（格式）</w:t>
      </w:r>
      <w:r>
        <w:rPr>
          <w:rStyle w:val="1042"/>
          <w:rFonts w:ascii="宋体" w:hAnsi="宋体"/>
          <w:color w:val="auto"/>
          <w:sz w:val="32"/>
          <w:szCs w:val="32"/>
          <w:highlight w:val="none"/>
          <w:u w:val="none"/>
        </w:rPr>
        <w:tab/>
      </w:r>
      <w:r>
        <w:rPr>
          <w:rStyle w:val="1042"/>
          <w:rFonts w:hint="eastAsia" w:ascii="宋体" w:hAnsi="宋体"/>
          <w:color w:val="auto"/>
          <w:sz w:val="32"/>
          <w:szCs w:val="32"/>
          <w:highlight w:val="none"/>
          <w:u w:val="none"/>
        </w:rPr>
        <w:t xml:space="preserve">50</w:t>
      </w:r>
      <w:r>
        <w:rPr>
          <w:highlight w:val="none"/>
        </w:rPr>
      </w:r>
      <w:r/>
    </w:p>
    <w:p>
      <w:pPr>
        <w:pStyle w:val="1034"/>
        <w:ind w:left="-283" w:firstLine="321"/>
        <w:tabs>
          <w:tab w:val="right" w:pos="9356" w:leader="dot"/>
        </w:tabs>
        <w:rPr>
          <w:rStyle w:val="1042"/>
          <w:rFonts w:hint="eastAsia" w:ascii="宋体" w:hAnsi="宋体"/>
          <w:color w:val="auto"/>
          <w:sz w:val="32"/>
          <w:szCs w:val="32"/>
          <w:highlight w:val="none"/>
        </w:rPr>
      </w:pPr>
      <w:r>
        <w:rPr>
          <w:rFonts w:hint="eastAsia" w:ascii="宋体" w:hAnsi="宋体"/>
          <w:color w:val="auto"/>
          <w:sz w:val="32"/>
          <w:szCs w:val="32"/>
          <w:highlight w:val="none"/>
        </w:rPr>
      </w:r>
      <w:r>
        <w:rPr>
          <w:highlight w:val="none"/>
        </w:rPr>
      </w:r>
      <w:r/>
    </w:p>
    <w:p>
      <w:pPr>
        <w:pStyle w:val="1034"/>
        <w:ind w:left="-283" w:firstLine="321"/>
        <w:jc w:val="center"/>
        <w:tabs>
          <w:tab w:val="right" w:pos="9356" w:leader="dot"/>
        </w:tabs>
        <w:rPr>
          <w:color w:val="auto"/>
          <w:highlight w:val="none"/>
        </w:rPr>
      </w:pPr>
      <w:r>
        <w:rPr>
          <w:rStyle w:val="1042"/>
          <w:rFonts w:ascii="宋体" w:hAnsi="宋体"/>
          <w:color w:val="auto"/>
          <w:sz w:val="32"/>
          <w:szCs w:val="32"/>
          <w:highlight w:val="none"/>
        </w:rPr>
        <w:fldChar w:fldCharType="end"/>
      </w:r>
      <w:r>
        <w:rPr>
          <w:color w:val="auto"/>
          <w:highlight w:val="none"/>
        </w:rPr>
        <w:br w:type="page" w:clear="all"/>
      </w:r>
      <w:bookmarkStart w:id="2" w:name="_Toc73365456"/>
      <w:r>
        <w:rPr>
          <w:highlight w:val="none"/>
        </w:rPr>
      </w:r>
      <w:bookmarkStart w:id="3" w:name="_Toc256000000"/>
      <w:r>
        <w:rPr>
          <w:highlight w:val="none"/>
        </w:rPr>
      </w:r>
      <w:bookmarkStart w:id="4" w:name="_Toc73364843"/>
      <w:r>
        <w:rPr>
          <w:rFonts w:hint="eastAsia" w:ascii="宋体" w:hAnsi="宋体"/>
          <w:color w:val="auto"/>
          <w:sz w:val="36"/>
          <w:highlight w:val="none"/>
        </w:rPr>
        <w:t xml:space="preserve">第一部分  磋商邀请</w:t>
      </w:r>
      <w:bookmarkEnd w:id="2"/>
      <w:r>
        <w:rPr>
          <w:highlight w:val="none"/>
        </w:rPr>
      </w:r>
      <w:bookmarkEnd w:id="3"/>
      <w:r>
        <w:rPr>
          <w:highlight w:val="none"/>
        </w:rPr>
      </w:r>
      <w:bookmarkEnd w:id="4"/>
      <w:r>
        <w:rPr>
          <w:highlight w:val="none"/>
        </w:rPr>
      </w:r>
      <w:r/>
    </w:p>
    <w:p>
      <w:pPr>
        <w:rPr>
          <w:color w:val="auto"/>
          <w:highlight w:val="none"/>
        </w:rPr>
      </w:pPr>
      <w:r>
        <w:rPr>
          <w:highlight w:val="none"/>
        </w:rPr>
      </w:r>
      <w:bookmarkStart w:id="5" w:name="EB90a90c36211a4db3a2108a4f75c8af65"/>
      <w:r>
        <w:rPr>
          <w:rFonts w:hint="eastAsia"/>
          <w:color w:val="auto"/>
          <w:sz w:val="20"/>
          <w:highlight w:val="none"/>
        </w:rPr>
        <w:t xml:space="preserve"> </w:t>
      </w:r>
      <w:bookmarkEnd w:id="5"/>
      <w:r>
        <w:rPr>
          <w:highlight w:val="none"/>
        </w:rPr>
      </w:r>
      <w:bookmarkStart w:id="6" w:name="EBb19c9a8f63314b7a8160b48722b227e9"/>
      <w:r>
        <w:rPr>
          <w:rFonts w:hint="eastAsia"/>
          <w:color w:val="auto"/>
          <w:sz w:val="20"/>
          <w:highlight w:val="none"/>
        </w:rPr>
        <w:t xml:space="preserve"> </w:t>
      </w:r>
      <w:bookmarkEnd w:id="6"/>
      <w:r>
        <w:rPr>
          <w:highlight w:val="none"/>
        </w:rPr>
      </w:r>
      <w:r/>
    </w:p>
    <w:p>
      <w:pPr>
        <w:ind w:firstLine="480"/>
        <w:spacing w:line="360" w:lineRule="auto"/>
        <w:rPr>
          <w:rFonts w:hint="eastAsia"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rPr>
        <w:t xml:space="preserve">项目概况</w:t>
      </w:r>
      <w:r>
        <w:rPr>
          <w:highlight w:val="none"/>
        </w:rPr>
      </w:r>
      <w:r/>
    </w:p>
    <w:p>
      <w:pPr>
        <w:ind w:firstLine="480"/>
        <w:spacing w:line="360" w:lineRule="auto"/>
        <w:rPr>
          <w:rFonts w:hint="eastAsia"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句容市下蜀镇江家村312国道两侧倾倒建筑渣土区域生态环境综合整治项目 </w:t>
      </w:r>
      <w:r>
        <w:rPr>
          <w:rFonts w:hint="eastAsia" w:ascii="宋体" w:hAnsi="宋体"/>
          <w:color w:val="auto"/>
          <w:sz w:val="24"/>
          <w:szCs w:val="28"/>
          <w:highlight w:val="none"/>
        </w:rPr>
        <w:t xml:space="preserve">的潜在供应商应在江苏政府采购网-苏采云平台</w:t>
      </w:r>
      <w:r>
        <w:rPr>
          <w:rFonts w:hint="eastAsia" w:ascii="宋体" w:hAnsi="宋体"/>
          <w:color w:val="auto"/>
          <w:sz w:val="24"/>
          <w:szCs w:val="28"/>
          <w:highlight w:val="none"/>
          <w:u w:val="single"/>
        </w:rPr>
        <w:fldChar w:fldCharType="begin"/>
      </w:r>
      <w:r>
        <w:rPr>
          <w:rFonts w:hint="eastAsia" w:ascii="宋体" w:hAnsi="宋体"/>
          <w:color w:val="auto"/>
          <w:sz w:val="24"/>
          <w:szCs w:val="28"/>
          <w:highlight w:val="none"/>
          <w:u w:val="single"/>
        </w:rPr>
        <w:instrText xml:space="preserve">HYPERLINK "http://jszfcg.jsczt.cn/jszc/login获取磋商文件，并于2025- -"</w:instrText>
      </w:r>
      <w:r>
        <w:rPr>
          <w:rFonts w:hint="eastAsia" w:ascii="宋体" w:hAnsi="宋体"/>
          <w:color w:val="auto"/>
          <w:sz w:val="24"/>
          <w:szCs w:val="28"/>
          <w:highlight w:val="none"/>
          <w:u w:val="single"/>
        </w:rPr>
        <w:fldChar w:fldCharType="separate"/>
      </w:r>
      <w:r>
        <w:rPr>
          <w:rStyle w:val="804"/>
          <w:rFonts w:hint="eastAsia" w:ascii="宋体" w:hAnsi="宋体"/>
          <w:color w:val="auto"/>
          <w:sz w:val="24"/>
          <w:szCs w:val="28"/>
          <w:highlight w:val="none"/>
        </w:rPr>
        <w:t xml:space="preserve">http://jszfcg.jsczt.cn/jszc/login获取磋商文件，并于2025-</w:t>
      </w:r>
      <w:r>
        <w:rPr>
          <w:rStyle w:val="804"/>
          <w:rFonts w:hint="eastAsia" w:ascii="宋体" w:hAnsi="宋体"/>
          <w:color w:val="auto"/>
          <w:sz w:val="24"/>
          <w:szCs w:val="28"/>
          <w:highlight w:val="none"/>
          <w:lang w:val="en-US" w:eastAsia="zh-CN"/>
        </w:rPr>
        <w:t xml:space="preserve">12</w:t>
      </w:r>
      <w:r>
        <w:rPr>
          <w:rStyle w:val="804"/>
          <w:rFonts w:hint="eastAsia" w:ascii="宋体" w:hAnsi="宋体"/>
          <w:color w:val="auto"/>
          <w:sz w:val="24"/>
          <w:szCs w:val="28"/>
          <w:highlight w:val="none"/>
        </w:rPr>
        <w:t xml:space="preserve">-</w:t>
      </w:r>
      <w:r>
        <w:rPr>
          <w:rStyle w:val="804"/>
          <w:rFonts w:hint="eastAsia" w:ascii="宋体" w:hAnsi="宋体"/>
          <w:color w:val="auto"/>
          <w:sz w:val="24"/>
          <w:szCs w:val="28"/>
          <w:highlight w:val="none"/>
          <w:lang w:val="en-US" w:eastAsia="zh-CN"/>
        </w:rPr>
        <w:t xml:space="preserve">15   </w:t>
      </w:r>
      <w:r>
        <w:rPr>
          <w:rFonts w:hint="eastAsia" w:ascii="宋体" w:hAnsi="宋体"/>
          <w:color w:val="auto"/>
          <w:sz w:val="24"/>
          <w:szCs w:val="28"/>
          <w:highlight w:val="none"/>
          <w:u w:val="single"/>
        </w:rPr>
        <w:fldChar w:fldCharType="end"/>
      </w:r>
      <w:r>
        <w:rPr>
          <w:rFonts w:hint="eastAsia" w:ascii="宋体" w:hAnsi="宋体"/>
          <w:color w:val="auto"/>
          <w:sz w:val="24"/>
          <w:szCs w:val="28"/>
          <w:highlight w:val="none"/>
          <w:u w:val="single"/>
          <w:lang w:val="en-US" w:eastAsia="zh-CN"/>
        </w:rPr>
        <w:t xml:space="preserve">9</w:t>
      </w:r>
      <w:r>
        <w:rPr>
          <w:rFonts w:hint="eastAsia" w:ascii="宋体" w:hAnsi="宋体"/>
          <w:color w:val="auto"/>
          <w:sz w:val="24"/>
          <w:szCs w:val="28"/>
          <w:highlight w:val="none"/>
          <w:u w:val="single"/>
        </w:rPr>
        <w:t xml:space="preserve">:</w:t>
      </w:r>
      <w:r>
        <w:rPr>
          <w:rFonts w:hint="eastAsia" w:ascii="宋体" w:hAnsi="宋体"/>
          <w:color w:val="auto"/>
          <w:sz w:val="24"/>
          <w:szCs w:val="28"/>
          <w:highlight w:val="none"/>
          <w:u w:val="single"/>
          <w:lang w:val="en-US" w:eastAsia="zh-CN"/>
        </w:rPr>
        <w:t xml:space="preserve">3</w:t>
      </w:r>
      <w:r>
        <w:rPr>
          <w:rFonts w:hint="eastAsia" w:ascii="宋体" w:hAnsi="宋体"/>
          <w:color w:val="auto"/>
          <w:sz w:val="24"/>
          <w:szCs w:val="28"/>
          <w:highlight w:val="none"/>
          <w:u w:val="single"/>
        </w:rPr>
        <w:t xml:space="preserve">0</w:t>
      </w:r>
      <w:r>
        <w:rPr>
          <w:rFonts w:hint="eastAsia" w:ascii="宋体" w:hAnsi="宋体"/>
          <w:color w:val="auto"/>
          <w:sz w:val="24"/>
          <w:szCs w:val="28"/>
          <w:highlight w:val="none"/>
        </w:rPr>
        <w:t xml:space="preserve">（北京时间）前递交响应文件。</w:t>
      </w:r>
      <w:r>
        <w:rPr>
          <w:highlight w:val="none"/>
        </w:rPr>
      </w:r>
      <w:r/>
    </w:p>
    <w:p>
      <w:pPr>
        <w:pStyle w:val="1002"/>
        <w:jc w:val="left"/>
        <w:rPr>
          <w:rFonts w:hint="eastAsia" w:ascii="宋体" w:hAnsi="宋体" w:eastAsia="宋体"/>
          <w:b w:val="0"/>
          <w:color w:val="auto"/>
          <w:highlight w:val="none"/>
        </w:rPr>
      </w:pPr>
      <w:r>
        <w:rPr>
          <w:highlight w:val="none"/>
        </w:rPr>
      </w:r>
      <w:bookmarkStart w:id="7" w:name="_Toc256000001"/>
      <w:r>
        <w:rPr>
          <w:highlight w:val="none"/>
        </w:rPr>
      </w:r>
      <w:bookmarkStart w:id="8" w:name="_Toc73365457"/>
      <w:r>
        <w:rPr>
          <w:highlight w:val="none"/>
        </w:rPr>
      </w:r>
      <w:bookmarkStart w:id="9" w:name="_Toc73364844"/>
      <w:r>
        <w:rPr>
          <w:rFonts w:hint="eastAsia" w:ascii="宋体" w:hAnsi="宋体" w:eastAsia="宋体"/>
          <w:b w:val="0"/>
          <w:color w:val="auto"/>
          <w:highlight w:val="none"/>
          <w:lang w:eastAsia="zh-CN"/>
        </w:rPr>
        <w:t xml:space="preserve">一、项目基本情况</w:t>
      </w:r>
      <w:bookmarkEnd w:id="7"/>
      <w:r>
        <w:rPr>
          <w:highlight w:val="none"/>
        </w:rPr>
      </w:r>
      <w:bookmarkEnd w:id="8"/>
      <w:r>
        <w:rPr>
          <w:highlight w:val="none"/>
        </w:rPr>
      </w:r>
      <w:bookmarkEnd w:id="9"/>
      <w:r>
        <w:rPr>
          <w:highlight w:val="none"/>
        </w:rPr>
      </w:r>
      <w:r/>
    </w:p>
    <w:p>
      <w:pPr>
        <w:ind w:firstLine="480"/>
        <w:spacing w:line="360" w:lineRule="auto"/>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项目编号：JSZC-321183-JSDZ-C2025-0230</w:t>
      </w:r>
      <w:r>
        <w:rPr>
          <w:rFonts w:hint="eastAsia" w:ascii="宋体" w:hAnsi="宋体"/>
          <w:color w:val="auto"/>
          <w:sz w:val="24"/>
          <w:szCs w:val="28"/>
          <w:highlight w:val="none"/>
          <w:lang w:val="en-US" w:eastAsia="zh-CN"/>
        </w:rPr>
        <w:t xml:space="preserve"> </w:t>
      </w:r>
      <w:r>
        <w:rPr>
          <w:highlight w:val="none"/>
        </w:rPr>
      </w:r>
      <w:r/>
    </w:p>
    <w:p>
      <w:pPr>
        <w:ind w:firstLine="480"/>
        <w:spacing w:line="360" w:lineRule="auto"/>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句容市下蜀镇江家村312国道两侧倾倒建筑渣土区域生态环境综合整治项目 </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u w:val="single"/>
          <w:lang w:val="en-US" w:eastAsia="zh-CN"/>
        </w:rPr>
        <w:t xml:space="preserve">1924336.19</w:t>
      </w:r>
      <w:r>
        <w:rPr>
          <w:rFonts w:ascii="宋体" w:hAnsi="宋体"/>
          <w:color w:val="auto"/>
          <w:sz w:val="24"/>
          <w:szCs w:val="28"/>
          <w:highlight w:val="none"/>
          <w:u w:val="single"/>
        </w:rPr>
        <w:t xml:space="preserve">元</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最高限价：</w:t>
      </w:r>
      <w:r>
        <w:rPr>
          <w:rFonts w:hint="eastAsia" w:ascii="宋体" w:hAnsi="宋体"/>
          <w:color w:val="auto"/>
          <w:sz w:val="24"/>
          <w:szCs w:val="28"/>
          <w:highlight w:val="none"/>
          <w:u w:val="single"/>
          <w:lang w:val="en-US" w:eastAsia="zh-CN"/>
        </w:rPr>
        <w:t xml:space="preserve">1924336.19</w:t>
      </w:r>
      <w:r>
        <w:rPr>
          <w:rFonts w:ascii="宋体" w:hAnsi="宋体"/>
          <w:color w:val="auto"/>
          <w:sz w:val="24"/>
          <w:szCs w:val="28"/>
          <w:highlight w:val="none"/>
          <w:u w:val="single"/>
        </w:rPr>
        <w:t xml:space="preserve">元</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0" w:name="EB5d98601673ee4dabb6909c42181f9c92"/>
      <w:r>
        <w:rPr>
          <w:rFonts w:hint="eastAsia" w:ascii="宋体" w:hAnsi="宋体"/>
          <w:color w:val="auto"/>
          <w:sz w:val="24"/>
          <w:szCs w:val="28"/>
          <w:highlight w:val="none"/>
        </w:rPr>
        <w:t xml:space="preserve">详细内容及要求见附件采购文件。</w:t>
      </w:r>
      <w:bookmarkEnd w:id="10"/>
      <w:r>
        <w:rPr>
          <w:highlight w:val="none"/>
        </w:rPr>
      </w:r>
      <w:bookmarkStart w:id="11" w:name="EBd7b548ce0011456a9f402dd37794dbc3"/>
      <w:r>
        <w:rPr>
          <w:rFonts w:ascii="宋体" w:hAnsi="宋体"/>
          <w:color w:val="auto"/>
          <w:sz w:val="24"/>
          <w:szCs w:val="28"/>
          <w:highlight w:val="none"/>
        </w:rPr>
        <w:t xml:space="preserve"> </w:t>
      </w:r>
      <w:bookmarkEnd w:id="11"/>
      <w:r>
        <w:rPr>
          <w:highlight w:val="none"/>
        </w:rPr>
      </w:r>
      <w:r/>
    </w:p>
    <w:p>
      <w:pPr>
        <w:ind w:firstLine="480"/>
        <w:spacing w:line="360" w:lineRule="auto"/>
        <w:rPr>
          <w:rFonts w:hint="eastAsia" w:ascii="宋体" w:hAnsi="宋体"/>
          <w:b/>
          <w:bCs/>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b/>
          <w:bCs/>
          <w:color w:val="auto"/>
          <w:sz w:val="24"/>
          <w:szCs w:val="28"/>
          <w:highlight w:val="none"/>
          <w:lang w:val="en-US" w:eastAsia="zh-CN"/>
        </w:rPr>
        <w:t xml:space="preserve">施工工期30</w:t>
      </w:r>
      <w:r>
        <w:rPr>
          <w:rFonts w:hint="eastAsia" w:ascii="宋体" w:hAnsi="宋体"/>
          <w:b/>
          <w:bCs/>
          <w:color w:val="auto"/>
          <w:sz w:val="24"/>
          <w:szCs w:val="28"/>
          <w:highlight w:val="none"/>
        </w:rPr>
        <w:t xml:space="preserve">日历天</w:t>
      </w:r>
      <w:r>
        <w:rPr>
          <w:rFonts w:hint="eastAsia" w:ascii="宋体" w:hAnsi="宋体"/>
          <w:b/>
          <w:bCs/>
          <w:color w:val="auto"/>
          <w:sz w:val="24"/>
          <w:szCs w:val="28"/>
          <w:highlight w:val="none"/>
          <w:lang w:eastAsia="zh-CN"/>
        </w:rPr>
        <w:t xml:space="preserve">（林地区域绿化</w:t>
      </w:r>
      <w:r>
        <w:rPr>
          <w:rFonts w:hint="eastAsia" w:ascii="宋体" w:hAnsi="宋体"/>
          <w:b/>
          <w:bCs/>
          <w:color w:val="auto"/>
          <w:sz w:val="24"/>
          <w:szCs w:val="28"/>
          <w:highlight w:val="none"/>
          <w:lang w:val="en-US" w:eastAsia="zh-CN"/>
        </w:rPr>
        <w:t xml:space="preserve">养护期一年</w:t>
      </w:r>
      <w:r>
        <w:rPr>
          <w:rFonts w:hint="eastAsia" w:ascii="宋体" w:hAnsi="宋体"/>
          <w:b/>
          <w:bCs/>
          <w:color w:val="auto"/>
          <w:sz w:val="24"/>
          <w:szCs w:val="28"/>
          <w:highlight w:val="none"/>
          <w:lang w:eastAsia="zh-CN"/>
        </w:rPr>
        <w:t xml:space="preserve">）</w:t>
      </w:r>
      <w:r>
        <w:rPr>
          <w:highlight w:val="none"/>
        </w:rPr>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bookmarkStart w:id="12" w:name="EB85b2e39ba7d546c49ea4d24be10d3b59"/>
      <w:r>
        <w:rPr>
          <w:rFonts w:ascii="宋体" w:hAnsi="宋体"/>
          <w:color w:val="auto"/>
          <w:sz w:val="24"/>
          <w:szCs w:val="28"/>
          <w:highlight w:val="none"/>
        </w:rPr>
        <w:t xml:space="preserve"> </w:t>
      </w:r>
      <w:bookmarkEnd w:id="12"/>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本项目供应商邀请方式：</w:t>
      </w:r>
      <w:bookmarkStart w:id="13" w:name="EB4808d737793b46c3b9feac6e63a963d3"/>
      <w:r>
        <w:rPr>
          <w:rFonts w:hint="eastAsia" w:ascii="宋体" w:hAnsi="宋体"/>
          <w:color w:val="auto"/>
          <w:sz w:val="24"/>
          <w:szCs w:val="28"/>
          <w:highlight w:val="none"/>
        </w:rPr>
        <w:t xml:space="preserve">发布公告</w:t>
      </w:r>
      <w:bookmarkEnd w:id="13"/>
      <w:r>
        <w:rPr>
          <w:highlight w:val="none"/>
        </w:rPr>
      </w:r>
      <w:bookmarkStart w:id="14" w:name="EBd8f11baf8c5c48a39a68838346426e79"/>
      <w:r>
        <w:rPr>
          <w:rFonts w:ascii="宋体" w:hAnsi="宋体"/>
          <w:color w:val="auto"/>
          <w:sz w:val="20"/>
          <w:szCs w:val="28"/>
          <w:highlight w:val="none"/>
        </w:rPr>
        <w:t xml:space="preserve"> </w:t>
      </w:r>
      <w:bookmarkEnd w:id="14"/>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本次采购确定的成交供应商数量：</w:t>
      </w:r>
      <w:bookmarkStart w:id="15" w:name="EB5c24124ec8a5472f86d055936d89b2d9"/>
      <w:r>
        <w:rPr>
          <w:rFonts w:hint="eastAsia" w:ascii="宋体" w:hAnsi="宋体"/>
          <w:color w:val="auto"/>
          <w:sz w:val="24"/>
          <w:szCs w:val="28"/>
          <w:highlight w:val="none"/>
        </w:rPr>
        <w:t xml:space="preserve">1名</w:t>
      </w:r>
      <w:bookmarkEnd w:id="15"/>
      <w:r>
        <w:rPr>
          <w:rFonts w:ascii="宋体" w:hAnsi="宋体"/>
          <w:color w:val="auto"/>
          <w:sz w:val="24"/>
          <w:szCs w:val="28"/>
          <w:highlight w:val="none"/>
        </w:rPr>
        <w:t xml:space="preserve"> </w:t>
      </w:r>
      <w:r>
        <w:rPr>
          <w:highlight w:val="none"/>
        </w:rPr>
      </w:r>
      <w:r/>
    </w:p>
    <w:p>
      <w:pPr>
        <w:pStyle w:val="1002"/>
        <w:jc w:val="left"/>
        <w:rPr>
          <w:rFonts w:hint="eastAsia" w:ascii="宋体" w:hAnsi="宋体" w:eastAsia="宋体"/>
          <w:b w:val="0"/>
          <w:color w:val="auto"/>
          <w:highlight w:val="none"/>
        </w:rPr>
      </w:pPr>
      <w:r>
        <w:rPr>
          <w:highlight w:val="none"/>
        </w:rPr>
      </w:r>
      <w:bookmarkStart w:id="16" w:name="_Toc73364845"/>
      <w:r>
        <w:rPr>
          <w:highlight w:val="none"/>
        </w:rPr>
      </w:r>
      <w:bookmarkStart w:id="17" w:name="_Toc256000002"/>
      <w:r>
        <w:rPr>
          <w:highlight w:val="none"/>
        </w:rPr>
      </w:r>
      <w:bookmarkStart w:id="18" w:name="_Toc73365458"/>
      <w:r>
        <w:rPr>
          <w:rFonts w:hint="eastAsia" w:ascii="宋体" w:hAnsi="宋体" w:eastAsia="宋体"/>
          <w:b w:val="0"/>
          <w:color w:val="auto"/>
          <w:highlight w:val="none"/>
          <w:lang w:eastAsia="zh-CN"/>
        </w:rPr>
        <w:t xml:space="preserve">二、申请人的资格要求：</w:t>
      </w:r>
      <w:bookmarkEnd w:id="16"/>
      <w:r>
        <w:rPr>
          <w:highlight w:val="none"/>
        </w:rPr>
      </w:r>
      <w:bookmarkEnd w:id="17"/>
      <w:r>
        <w:rPr>
          <w:highlight w:val="none"/>
        </w:rPr>
      </w:r>
      <w:bookmarkEnd w:id="18"/>
      <w:r>
        <w:rPr>
          <w:highlight w:val="none"/>
        </w:rPr>
      </w:r>
      <w:r/>
    </w:p>
    <w:p>
      <w:pPr>
        <w:ind w:firstLine="480"/>
        <w:spacing w:line="440" w:lineRule="exact"/>
        <w:rPr>
          <w:rFonts w:hint="eastAsia" w:ascii="宋体" w:hAnsi="宋体"/>
          <w:color w:val="auto"/>
          <w:sz w:val="24"/>
          <w:szCs w:val="28"/>
          <w:highlight w:val="none"/>
        </w:rPr>
      </w:pPr>
      <w:r>
        <w:rPr>
          <w:rFonts w:hint="eastAsia" w:ascii="宋体" w:hAnsi="宋体"/>
          <w:color w:val="auto"/>
          <w:sz w:val="24"/>
          <w:szCs w:val="28"/>
          <w:highlight w:val="none"/>
        </w:rPr>
        <w:t xml:space="preserve">1. 满足《中华人民共和国政府采购法》第二十二条规定；</w:t>
      </w:r>
      <w:r>
        <w:rPr>
          <w:highlight w:val="none"/>
        </w:rPr>
      </w:r>
      <w:r/>
    </w:p>
    <w:p>
      <w:pPr>
        <w:ind w:firstLine="480"/>
        <w:spacing w:line="440" w:lineRule="exact"/>
        <w:rPr>
          <w:rFonts w:hint="eastAsia" w:ascii="宋体" w:hAnsi="宋体"/>
          <w:color w:val="auto"/>
          <w:sz w:val="24"/>
          <w:szCs w:val="28"/>
          <w:highlight w:val="none"/>
        </w:rPr>
      </w:pPr>
      <w:r>
        <w:rPr>
          <w:highlight w:val="none"/>
        </w:rPr>
      </w:r>
      <w:bookmarkStart w:id="19" w:name="EBc1bc06189b4a41ccac26e04e92f3d69f"/>
      <w:r>
        <w:rPr>
          <w:rFonts w:hint="eastAsia" w:ascii="宋体" w:hAnsi="宋体"/>
          <w:color w:val="auto"/>
          <w:sz w:val="24"/>
          <w:szCs w:val="28"/>
          <w:highlight w:val="none"/>
        </w:rPr>
        <w:t xml:space="preserve">1.1 具有独立承担民事责任的能力（提供法人或者其他组织的营业执照等证明文件；供应商为自然人的，提供其身份证）；  </w:t>
      </w:r>
      <w:r>
        <w:rPr>
          <w:highlight w:val="none"/>
        </w:rPr>
      </w:r>
      <w:r/>
    </w:p>
    <w:p>
      <w:pPr>
        <w:ind w:firstLine="480"/>
        <w:spacing w:line="440" w:lineRule="exact"/>
        <w:rPr>
          <w:rFonts w:hint="eastAsia" w:ascii="宋体" w:hAnsi="宋体"/>
          <w:color w:val="auto"/>
          <w:sz w:val="24"/>
          <w:szCs w:val="28"/>
          <w:highlight w:val="none"/>
        </w:rPr>
      </w:pPr>
      <w:r>
        <w:rPr>
          <w:rFonts w:hint="eastAsia" w:ascii="宋体" w:hAnsi="宋体"/>
          <w:color w:val="auto"/>
          <w:sz w:val="24"/>
          <w:szCs w:val="28"/>
          <w:highlight w:val="none"/>
        </w:rPr>
        <w:t xml:space="preserve">1.2 具有良好的商业信誉和健全的财务会计制度（提供2023年或2024年度财务报告，成立不满一年的提供至少一个月财务报告，或银行出具的资信证明，或财政部门认可的政府采购专业担保机构出具的磋商担保函等，或者提供资格承诺函。）；  </w:t>
      </w:r>
      <w:r>
        <w:rPr>
          <w:highlight w:val="none"/>
        </w:rPr>
      </w:r>
      <w:r/>
    </w:p>
    <w:p>
      <w:pPr>
        <w:ind w:firstLine="480"/>
        <w:spacing w:line="440" w:lineRule="exact"/>
        <w:rPr>
          <w:rFonts w:hint="eastAsia" w:ascii="宋体" w:hAnsi="宋体"/>
          <w:color w:val="auto"/>
          <w:sz w:val="24"/>
          <w:szCs w:val="28"/>
          <w:highlight w:val="none"/>
        </w:rPr>
      </w:pPr>
      <w:r>
        <w:rPr>
          <w:rFonts w:hint="eastAsia" w:ascii="宋体" w:hAnsi="宋体"/>
          <w:color w:val="auto"/>
          <w:sz w:val="24"/>
          <w:szCs w:val="28"/>
          <w:highlight w:val="none"/>
        </w:rPr>
        <w:t xml:space="preserve">1.3 具有履行合同所必需的设备和专业技术能力（提供具有履行合同所必需的设备和专业技术能力的书面声明或者提供资格承诺函。）；  </w:t>
      </w:r>
      <w:r>
        <w:rPr>
          <w:highlight w:val="none"/>
        </w:rPr>
      </w:r>
      <w:r/>
    </w:p>
    <w:p>
      <w:pPr>
        <w:ind w:firstLine="480"/>
        <w:spacing w:line="440" w:lineRule="exact"/>
        <w:rPr>
          <w:rFonts w:hint="eastAsia" w:ascii="宋体" w:hAnsi="宋体"/>
          <w:color w:val="auto"/>
          <w:sz w:val="24"/>
          <w:szCs w:val="28"/>
          <w:highlight w:val="none"/>
        </w:rPr>
      </w:pPr>
      <w:r>
        <w:rPr>
          <w:rFonts w:hint="eastAsia" w:ascii="宋体" w:hAnsi="宋体"/>
          <w:color w:val="auto"/>
          <w:sz w:val="24"/>
          <w:szCs w:val="28"/>
          <w:highlight w:val="none"/>
        </w:rPr>
        <w:t xml:space="preserve">1.4 有依法缴纳税收和社会保障资金的良好记录（提供参加本次政府采购活动前半年内至少一个月依法缴纳税收和社会保险的凭据，或者提供资格承诺函。）；  </w:t>
      </w:r>
      <w:r>
        <w:rPr>
          <w:highlight w:val="none"/>
        </w:rPr>
      </w:r>
      <w:r/>
    </w:p>
    <w:p>
      <w:pPr>
        <w:ind w:firstLine="480"/>
        <w:spacing w:line="440" w:lineRule="exact"/>
        <w:rPr>
          <w:rFonts w:hint="eastAsia" w:ascii="宋体" w:hAnsi="宋体"/>
          <w:color w:val="auto"/>
          <w:sz w:val="24"/>
          <w:szCs w:val="28"/>
          <w:highlight w:val="none"/>
        </w:rPr>
      </w:pPr>
      <w:r>
        <w:rPr>
          <w:rFonts w:hint="eastAsia" w:ascii="宋体" w:hAnsi="宋体"/>
          <w:color w:val="auto"/>
          <w:sz w:val="24"/>
          <w:szCs w:val="28"/>
          <w:highlight w:val="none"/>
        </w:rPr>
        <w:t xml:space="preserve">1.5 参加政府采购活动前三年内，在经营活动中没有重大违法记录（见磋商承诺函或者提供资格承诺函）;  </w:t>
      </w:r>
      <w:r>
        <w:rPr>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8"/>
          <w:highlight w:val="none"/>
        </w:rPr>
        <w:t xml:space="preserve">1.6 法律、行政法规规定的其他条件：无。  </w:t>
      </w:r>
      <w:r>
        <w:rPr>
          <w:highlight w:val="none"/>
        </w:rPr>
      </w:r>
      <w:r/>
    </w:p>
    <w:p>
      <w:pPr>
        <w:ind w:firstLine="480"/>
        <w:spacing w:line="440" w:lineRule="exact"/>
        <w:rPr>
          <w:rFonts w:hint="eastAsia"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2.落实政府采购政策需满足的资格要求：本项目属于专门面向中小微企业采购的项目。</w:t>
      </w:r>
      <w:r>
        <w:rPr>
          <w:highlight w:val="none"/>
        </w:rPr>
      </w:r>
      <w:r/>
    </w:p>
    <w:p>
      <w:pPr>
        <w:ind w:firstLine="480"/>
        <w:spacing w:line="440" w:lineRule="exact"/>
        <w:rPr>
          <w:rFonts w:hint="eastAsia" w:ascii="宋体" w:hAnsi="宋体"/>
          <w:color w:val="auto"/>
          <w:sz w:val="24"/>
          <w:szCs w:val="28"/>
          <w:highlight w:val="none"/>
        </w:rPr>
      </w:pPr>
      <w:r>
        <w:rPr>
          <w:rFonts w:hint="eastAsia" w:ascii="宋体" w:hAnsi="宋体"/>
          <w:color w:val="auto"/>
          <w:sz w:val="24"/>
          <w:szCs w:val="28"/>
          <w:highlight w:val="none"/>
        </w:rPr>
        <w:t xml:space="preserve">3.本项目的特定资格要求：</w:t>
      </w:r>
      <w:bookmarkEnd w:id="19"/>
      <w:r>
        <w:rPr>
          <w:highlight w:val="none"/>
        </w:rPr>
      </w:r>
      <w:r/>
    </w:p>
    <w:p>
      <w:pPr>
        <w:ind w:firstLine="480"/>
        <w:spacing w:line="440" w:lineRule="exact"/>
        <w:rPr>
          <w:rFonts w:hint="eastAsia" w:ascii="宋体" w:hAnsi="宋体"/>
          <w:color w:val="auto"/>
          <w:sz w:val="24"/>
          <w:szCs w:val="28"/>
          <w:highlight w:val="none"/>
          <w:u w:val="none"/>
        </w:rPr>
      </w:pPr>
      <w:r>
        <w:rPr>
          <w:rFonts w:hint="eastAsia" w:ascii="宋体" w:hAnsi="宋体"/>
          <w:color w:val="auto"/>
          <w:sz w:val="24"/>
          <w:szCs w:val="28"/>
          <w:highlight w:val="none"/>
          <w:u w:val="none"/>
          <w:lang w:val="en-US" w:eastAsia="zh-CN"/>
        </w:rPr>
        <w:t xml:space="preserve">3.1投标人具有环保工程专业承包三级及以上资质，并取得安全生产许可证（提供有效期内的证书扫描件加盖公章）；</w:t>
      </w:r>
      <w:r>
        <w:rPr>
          <w:highlight w:val="none"/>
        </w:rPr>
      </w:r>
      <w:r/>
    </w:p>
    <w:p>
      <w:pPr>
        <w:ind w:firstLine="480"/>
        <w:spacing w:line="440" w:lineRule="exact"/>
        <w:rPr>
          <w:rFonts w:hint="eastAsia" w:ascii="宋体" w:hAnsi="宋体"/>
          <w:color w:val="auto"/>
          <w:sz w:val="24"/>
          <w:szCs w:val="28"/>
          <w:highlight w:val="none"/>
          <w:u w:val="none"/>
        </w:rPr>
      </w:pPr>
      <w:r>
        <w:rPr>
          <w:rFonts w:hint="eastAsia" w:ascii="宋体" w:hAnsi="宋体"/>
          <w:color w:val="auto"/>
          <w:sz w:val="24"/>
          <w:szCs w:val="28"/>
          <w:highlight w:val="none"/>
          <w:u w:val="none"/>
          <w:lang w:val="en-US" w:eastAsia="zh-CN"/>
        </w:rPr>
        <w:t xml:space="preserve">3.2拟派项目经理为本公司正式员工,具有注册建造师证市政公用工程二级(含)以上并且具有安全生产考核B类合格证（提供有效期内的证书扫描件加盖公章）；</w:t>
      </w:r>
      <w:r>
        <w:rPr>
          <w:highlight w:val="none"/>
        </w:rPr>
      </w:r>
      <w:r/>
    </w:p>
    <w:p>
      <w:pPr>
        <w:ind w:firstLine="480"/>
        <w:spacing w:line="440" w:lineRule="exact"/>
        <w:rPr>
          <w:rFonts w:hint="eastAsia" w:ascii="宋体" w:hAnsi="宋体"/>
          <w:color w:val="auto"/>
          <w:sz w:val="24"/>
          <w:szCs w:val="28"/>
          <w:highlight w:val="none"/>
          <w:u w:val="none"/>
        </w:rPr>
      </w:pPr>
      <w:r>
        <w:rPr>
          <w:rFonts w:hint="eastAsia" w:ascii="宋体" w:hAnsi="宋体"/>
          <w:color w:val="auto"/>
          <w:sz w:val="24"/>
          <w:szCs w:val="28"/>
          <w:highlight w:val="none"/>
          <w:u w:val="none"/>
          <w:lang w:val="en-US" w:eastAsia="zh-CN"/>
        </w:rPr>
        <w:t xml:space="preserve">3.3项目经理须提供近一个月供应商为其缴纳社会保险的证明材料。【注：社会保险证明：①如供应商注册所在地人力资源和社会保障部门明确的最大查询期与招标文件规定的月份不一致时，须提供相应的文件规定；②项目经理达到国家法定退休年龄的或项目经理未达到国家法定退休年龄，但提前退休的，无需提供社保证明材料，但需提供退休证明材料（退休证明和有效的劳务合同）。】</w:t>
      </w:r>
      <w:r>
        <w:rPr>
          <w:highlight w:val="none"/>
        </w:rPr>
      </w:r>
      <w:r/>
    </w:p>
    <w:p>
      <w:pPr>
        <w:ind w:firstLine="480"/>
        <w:spacing w:line="440" w:lineRule="exact"/>
        <w:rPr>
          <w:rFonts w:hint="eastAsia" w:ascii="宋体" w:hAnsi="宋体"/>
          <w:color w:val="auto"/>
          <w:sz w:val="24"/>
          <w:szCs w:val="28"/>
          <w:highlight w:val="none"/>
          <w:u w:val="none"/>
        </w:rPr>
      </w:pPr>
      <w:r>
        <w:rPr>
          <w:rFonts w:hint="eastAsia" w:ascii="宋体" w:hAnsi="宋体"/>
          <w:color w:val="auto"/>
          <w:sz w:val="24"/>
          <w:szCs w:val="28"/>
          <w:highlight w:val="none"/>
          <w:u w:val="none"/>
          <w:lang w:val="en-US" w:eastAsia="zh-CN"/>
        </w:rPr>
        <w:t xml:space="preserve">3.4供应商承诺项目经理无在建工程(项目经理不得同时在其他企业担任法定代表人、分公司负责人、董事长、总经理、董事、执行董事、监事、财务负责人等企业高级管理岗位;项目经理不得是个体工商户经营者;项目经理不得在其他项目中担任管理层职务。)(供应商提供承诺书，格式自拟)</w:t>
      </w:r>
      <w:r>
        <w:rPr>
          <w:highlight w:val="none"/>
        </w:rPr>
      </w:r>
      <w:r/>
    </w:p>
    <w:p>
      <w:pPr>
        <w:ind w:firstLine="480"/>
        <w:spacing w:line="440" w:lineRule="exact"/>
        <w:rPr>
          <w:rFonts w:hint="eastAsia" w:ascii="宋体" w:hAnsi="宋体"/>
          <w:color w:val="auto"/>
          <w:sz w:val="24"/>
          <w:szCs w:val="28"/>
          <w:highlight w:val="none"/>
          <w:u w:val="none"/>
        </w:rPr>
      </w:pPr>
      <w:r>
        <w:rPr>
          <w:rFonts w:hint="eastAsia" w:ascii="宋体" w:hAnsi="宋体"/>
          <w:color w:val="auto"/>
          <w:sz w:val="24"/>
          <w:szCs w:val="28"/>
          <w:highlight w:val="none"/>
          <w:u w:val="none"/>
          <w:lang w:val="en-US" w:eastAsia="zh-CN"/>
        </w:rPr>
        <w:t xml:space="preserve">3.5本工程执行省建设厅《关于开展建筑业企业资质动态监管工作的公告》（[2018]第6号）相关规定，要求供应商动态监管核查结果合格，核查结果不合格的，不得参加投标（核查资质指招标文件所要求的相应资质，提供核查结果截图）</w:t>
      </w:r>
      <w:r>
        <w:rPr>
          <w:highlight w:val="none"/>
        </w:rPr>
      </w:r>
      <w:r/>
    </w:p>
    <w:p>
      <w:pPr>
        <w:ind w:firstLine="480"/>
        <w:spacing w:line="440" w:lineRule="exact"/>
        <w:rPr>
          <w:rFonts w:hint="default" w:ascii="宋体" w:hAnsi="宋体"/>
          <w:color w:val="auto"/>
          <w:sz w:val="24"/>
          <w:szCs w:val="28"/>
          <w:highlight w:val="none"/>
          <w:u w:val="single"/>
        </w:rPr>
      </w:pPr>
      <w:r>
        <w:rPr>
          <w:rFonts w:hint="default" w:ascii="宋体" w:hAnsi="宋体"/>
          <w:color w:val="auto"/>
          <w:sz w:val="24"/>
          <w:szCs w:val="28"/>
          <w:highlight w:val="none"/>
          <w:u w:val="single"/>
          <w:lang w:val="en-US" w:eastAsia="zh-CN"/>
        </w:rPr>
      </w:r>
      <w:r>
        <w:rPr>
          <w:highlight w:val="none"/>
        </w:rPr>
      </w:r>
      <w:r/>
    </w:p>
    <w:p>
      <w:pPr>
        <w:ind w:firstLine="480"/>
        <w:spacing w:line="360" w:lineRule="auto"/>
        <w:rPr>
          <w:rFonts w:hint="eastAsia" w:ascii="宋体" w:hAnsi="宋体"/>
          <w:color w:val="auto"/>
          <w:sz w:val="24"/>
          <w:szCs w:val="28"/>
          <w:highlight w:val="none"/>
        </w:rPr>
      </w:pPr>
      <w:r>
        <w:rPr>
          <w:highlight w:val="none"/>
        </w:rPr>
      </w:r>
      <w:bookmarkStart w:id="20" w:name="_Toc73364846"/>
      <w:r>
        <w:rPr>
          <w:highlight w:val="none"/>
        </w:rPr>
      </w:r>
      <w:bookmarkStart w:id="21" w:name="_Toc73365459"/>
      <w:r>
        <w:rPr>
          <w:highlight w:val="none"/>
        </w:rPr>
      </w:r>
      <w:bookmarkStart w:id="22" w:name="_Toc256000003"/>
      <w:r>
        <w:rPr>
          <w:rFonts w:hint="eastAsia" w:ascii="宋体" w:hAnsi="宋体"/>
          <w:color w:val="auto"/>
          <w:sz w:val="24"/>
          <w:szCs w:val="28"/>
          <w:highlight w:val="none"/>
        </w:rPr>
        <w:t xml:space="preserve">4.拒绝下述供应商参加本次采购活动： </w:t>
      </w:r>
      <w:r>
        <w:rPr>
          <w:highlight w:val="none"/>
        </w:rPr>
      </w:r>
      <w:r/>
    </w:p>
    <w:p>
      <w:pPr>
        <w:ind w:firstLine="480"/>
        <w:spacing w:line="360" w:lineRule="auto"/>
        <w:rPr>
          <w:rFonts w:hint="eastAsia" w:ascii="宋体" w:hAnsi="宋体"/>
          <w:color w:val="auto"/>
          <w:sz w:val="24"/>
          <w:szCs w:val="28"/>
          <w:highlight w:val="none"/>
        </w:rPr>
      </w:pPr>
      <w:r>
        <w:rPr>
          <w:rFonts w:ascii="宋体" w:hAnsi="宋体"/>
          <w:color w:val="auto"/>
          <w:sz w:val="24"/>
          <w:szCs w:val="28"/>
          <w:highlight w:val="none"/>
        </w:rPr>
        <w:t xml:space="preserve">（1）供应商单位负责人为同一人或者存在直接控股、管理关系的不同供应商，不得参加同一合同项下的政府采购活动； </w:t>
      </w:r>
      <w:r>
        <w:rPr>
          <w:highlight w:val="none"/>
        </w:rPr>
      </w:r>
      <w:r/>
    </w:p>
    <w:p>
      <w:pPr>
        <w:ind w:firstLine="480"/>
        <w:spacing w:line="360" w:lineRule="auto"/>
        <w:rPr>
          <w:rFonts w:hint="eastAsia" w:ascii="宋体" w:hAnsi="宋体"/>
          <w:color w:val="auto"/>
          <w:sz w:val="24"/>
          <w:szCs w:val="28"/>
          <w:highlight w:val="none"/>
        </w:rPr>
      </w:pPr>
      <w:r>
        <w:rPr>
          <w:rFonts w:ascii="宋体" w:hAnsi="宋体"/>
          <w:color w:val="auto"/>
          <w:sz w:val="24"/>
          <w:szCs w:val="28"/>
          <w:highlight w:val="none"/>
        </w:rPr>
        <w:t xml:space="preserve">（2）为采购项目提供整体设计、规范编制或者项目管理、监理、检测等服务的供应商，不得参加本项目的采购活动； </w:t>
      </w:r>
      <w:r>
        <w:rPr>
          <w:highlight w:val="none"/>
        </w:rPr>
      </w:r>
      <w:r/>
    </w:p>
    <w:p>
      <w:pPr>
        <w:ind w:firstLine="480"/>
        <w:spacing w:line="360" w:lineRule="auto"/>
        <w:rPr>
          <w:rFonts w:hint="eastAsia" w:ascii="宋体" w:hAnsi="宋体"/>
          <w:color w:val="auto"/>
          <w:sz w:val="24"/>
          <w:szCs w:val="28"/>
          <w:highlight w:val="none"/>
        </w:rPr>
      </w:pPr>
      <w:r>
        <w:rPr>
          <w:rFonts w:ascii="宋体" w:hAnsi="宋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rPr>
          <w:highlight w:val="none"/>
        </w:rPr>
      </w:r>
      <w:r/>
    </w:p>
    <w:p>
      <w:pPr>
        <w:pStyle w:val="1002"/>
        <w:jc w:val="left"/>
        <w:rPr>
          <w:rFonts w:hint="eastAsia" w:ascii="宋体" w:hAnsi="宋体" w:eastAsia="宋体"/>
          <w:b w:val="0"/>
          <w:color w:val="auto"/>
          <w:highlight w:val="none"/>
        </w:rPr>
      </w:pPr>
      <w:r>
        <w:rPr>
          <w:rFonts w:hint="eastAsia" w:ascii="宋体" w:hAnsi="宋体" w:eastAsia="宋体"/>
          <w:b w:val="0"/>
          <w:color w:val="auto"/>
          <w:highlight w:val="none"/>
          <w:lang w:eastAsia="zh-CN"/>
        </w:rPr>
        <w:t xml:space="preserve">三、获取磋商文件</w:t>
      </w:r>
      <w:bookmarkEnd w:id="20"/>
      <w:r>
        <w:rPr>
          <w:highlight w:val="none"/>
        </w:rPr>
      </w:r>
      <w:bookmarkEnd w:id="21"/>
      <w:r>
        <w:rPr>
          <w:highlight w:val="none"/>
        </w:rPr>
      </w:r>
      <w:bookmarkEnd w:id="22"/>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时间：公告之时起至</w:t>
      </w:r>
      <w:bookmarkStart w:id="23" w:name="EB3611433bb0e24d78a959c34719c3168b"/>
      <w:r>
        <w:rPr>
          <w:rFonts w:hint="eastAsia" w:ascii="宋体" w:hAnsi="宋体"/>
          <w:color w:val="auto"/>
          <w:sz w:val="24"/>
          <w:szCs w:val="28"/>
          <w:highlight w:val="none"/>
        </w:rPr>
        <w:t xml:space="preserve">2025-</w:t>
      </w:r>
      <w:r>
        <w:rPr>
          <w:rFonts w:hint="eastAsia" w:ascii="宋体" w:hAnsi="宋体"/>
          <w:color w:val="auto"/>
          <w:sz w:val="24"/>
          <w:szCs w:val="28"/>
          <w:highlight w:val="none"/>
          <w:lang w:val="en-US" w:eastAsia="zh-CN"/>
        </w:rPr>
        <w:t xml:space="preserve"> 12</w:t>
      </w:r>
      <w:r>
        <w:rPr>
          <w:rFonts w:hint="eastAsia" w:ascii="宋体" w:hAnsi="宋体"/>
          <w:color w:val="auto"/>
          <w:sz w:val="24"/>
          <w:szCs w:val="28"/>
          <w:highlight w:val="none"/>
        </w:rPr>
        <w:t xml:space="preserve"> -</w:t>
      </w:r>
      <w:r>
        <w:rPr>
          <w:rFonts w:hint="eastAsia" w:ascii="宋体" w:hAnsi="宋体"/>
          <w:color w:val="auto"/>
          <w:sz w:val="24"/>
          <w:szCs w:val="28"/>
          <w:highlight w:val="none"/>
          <w:lang w:val="en-US" w:eastAsia="zh-CN"/>
        </w:rPr>
        <w:t xml:space="preserve"> 8 </w:t>
      </w:r>
      <w:r>
        <w:rPr>
          <w:rFonts w:ascii="宋体" w:hAnsi="宋体"/>
          <w:color w:val="auto"/>
          <w:sz w:val="24"/>
          <w:szCs w:val="28"/>
          <w:highlight w:val="none"/>
        </w:rPr>
        <w:t xml:space="preserve"> </w:t>
      </w:r>
      <w:r>
        <w:rPr>
          <w:rFonts w:hint="eastAsia" w:ascii="宋体" w:hAnsi="宋体"/>
          <w:color w:val="auto"/>
          <w:sz w:val="24"/>
          <w:szCs w:val="28"/>
          <w:highlight w:val="none"/>
        </w:rPr>
        <w:t xml:space="preserve">23：</w:t>
      </w:r>
      <w:bookmarkEnd w:id="23"/>
      <w:r>
        <w:rPr>
          <w:rFonts w:hint="eastAsia" w:ascii="宋体" w:hAnsi="宋体"/>
          <w:color w:val="auto"/>
          <w:sz w:val="24"/>
          <w:szCs w:val="28"/>
          <w:highlight w:val="none"/>
        </w:rPr>
        <w:t xml:space="preserve">39</w:t>
      </w:r>
      <w:r>
        <w:rPr>
          <w:rFonts w:hint="eastAsia" w:ascii="宋体" w:hAnsi="宋体"/>
          <w:color w:val="auto"/>
          <w:sz w:val="24"/>
          <w:szCs w:val="28"/>
          <w:highlight w:val="none"/>
        </w:rPr>
        <w:t xml:space="preserve">（北京时间）</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地点：江苏政府采购网-苏采云平台获取磋商文件</w:t>
      </w:r>
      <w:r>
        <w:rPr>
          <w:highlight w:val="none"/>
        </w:rPr>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方式：在线获取  </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（1）登录</w:t>
      </w:r>
      <w:r>
        <w:rPr>
          <w:rFonts w:ascii="宋体" w:hAnsi="宋体"/>
          <w:color w:val="auto"/>
          <w:sz w:val="24"/>
          <w:szCs w:val="28"/>
          <w:highlight w:val="none"/>
        </w:rPr>
        <w:t xml:space="preserve">http://www.ccgp-jiangsu.gov.cn/</w:t>
      </w:r>
      <w:r>
        <w:rPr>
          <w:rFonts w:hint="eastAsia" w:ascii="宋体" w:hAnsi="宋体"/>
          <w:color w:val="auto"/>
          <w:sz w:val="24"/>
          <w:szCs w:val="28"/>
          <w:highlight w:val="none"/>
        </w:rPr>
        <w:t xml:space="preserve">首页点击“苏采云”进入系统。</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（2）获取采购文件的方式：“苏采云”系统用户注册--获取“CA数字证书”--CA绑定与登录--网上报名--下载采购文件(后缀名为.kedt”)。</w:t>
      </w:r>
      <w:r>
        <w:rPr>
          <w:highlight w:val="none"/>
        </w:rPr>
      </w:r>
      <w:r/>
    </w:p>
    <w:p>
      <w:pPr>
        <w:ind w:firstLine="480"/>
        <w:jc w:val="left"/>
        <w:spacing w:line="360" w:lineRule="auto"/>
        <w:rPr>
          <w:rStyle w:val="1042"/>
          <w:rFonts w:hint="eastAsia" w:ascii="宋体" w:hAnsi="宋体"/>
          <w:color w:val="auto"/>
          <w:sz w:val="24"/>
          <w:szCs w:val="28"/>
          <w:highlight w:val="none"/>
        </w:rPr>
      </w:pPr>
      <w:r>
        <w:rPr>
          <w:rFonts w:hint="eastAsia" w:ascii="宋体" w:hAnsi="宋体"/>
          <w:color w:val="auto"/>
          <w:sz w:val="24"/>
          <w:szCs w:val="28"/>
          <w:highlight w:val="none"/>
        </w:rPr>
        <w:t xml:space="preserve">操作指南：</w:t>
      </w:r>
      <w:r>
        <w:rPr>
          <w:color w:val="auto"/>
          <w:highlight w:val="none"/>
        </w:rPr>
        <w:fldChar w:fldCharType="begin"/>
      </w:r>
      <w:r>
        <w:rPr>
          <w:color w:val="auto"/>
          <w:highlight w:val="none"/>
        </w:rPr>
        <w:instrText xml:space="preserve"> HYPERLINK "https://ggzy.zhenjiang.gov.cn/xzzq/20230830/c4df61fd-89bd-41b1-b5e7-700bb01af128.html" \o "https://ggzy.zhenjiang.gov.cn/xzzq/20230830/c4df61fd-89bd-41b1-b5e7-700bb01af128.html" </w:instrText>
      </w:r>
      <w:r>
        <w:rPr>
          <w:color w:val="auto"/>
          <w:highlight w:val="none"/>
        </w:rPr>
        <w:fldChar w:fldCharType="separate"/>
      </w:r>
      <w:r>
        <w:rPr>
          <w:rStyle w:val="1042"/>
          <w:rFonts w:ascii="宋体" w:hAnsi="宋体"/>
          <w:color w:val="auto"/>
          <w:sz w:val="24"/>
          <w:szCs w:val="28"/>
          <w:highlight w:val="none"/>
        </w:rPr>
        <w:t xml:space="preserve">https://ggzy.zhenjiang.gov.cn/xzzq/20230830/c4df61fd-89bd-41b1-b5e7-700bb01af128.html</w:t>
      </w:r>
      <w:r>
        <w:rPr>
          <w:rStyle w:val="1042"/>
          <w:rFonts w:ascii="宋体" w:hAnsi="宋体"/>
          <w:color w:val="auto"/>
          <w:sz w:val="24"/>
          <w:szCs w:val="28"/>
          <w:highlight w:val="none"/>
        </w:rPr>
        <w:fldChar w:fldCharType="end"/>
      </w:r>
      <w:r>
        <w:rPr>
          <w:highlight w:val="none"/>
        </w:rPr>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售价：</w:t>
      </w:r>
      <w:bookmarkStart w:id="24" w:name="EBfbf5c223f9c74f99858ac447a593fb5c"/>
      <w:r>
        <w:rPr>
          <w:rFonts w:hint="eastAsia" w:ascii="宋体" w:hAnsi="宋体"/>
          <w:color w:val="auto"/>
          <w:sz w:val="24"/>
          <w:szCs w:val="28"/>
          <w:highlight w:val="none"/>
        </w:rPr>
        <w:t xml:space="preserve">免费</w:t>
      </w:r>
      <w:bookmarkEnd w:id="24"/>
      <w:r>
        <w:rPr>
          <w:rFonts w:ascii="宋体" w:hAnsi="宋体"/>
          <w:color w:val="auto"/>
          <w:sz w:val="24"/>
          <w:szCs w:val="28"/>
          <w:highlight w:val="none"/>
        </w:rPr>
        <w:t xml:space="preserve"> </w:t>
      </w:r>
      <w:r>
        <w:rPr>
          <w:highlight w:val="none"/>
        </w:rPr>
      </w:r>
      <w:r/>
    </w:p>
    <w:p>
      <w:pPr>
        <w:pStyle w:val="1002"/>
        <w:jc w:val="left"/>
        <w:rPr>
          <w:rFonts w:hint="eastAsia" w:ascii="宋体" w:hAnsi="宋体" w:eastAsia="宋体"/>
          <w:b w:val="0"/>
          <w:color w:val="auto"/>
          <w:highlight w:val="none"/>
        </w:rPr>
      </w:pPr>
      <w:r>
        <w:rPr>
          <w:highlight w:val="none"/>
        </w:rPr>
      </w:r>
      <w:bookmarkStart w:id="25" w:name="_Toc73364847"/>
      <w:r>
        <w:rPr>
          <w:highlight w:val="none"/>
        </w:rPr>
      </w:r>
      <w:bookmarkStart w:id="26" w:name="_Toc256000004"/>
      <w:r>
        <w:rPr>
          <w:highlight w:val="none"/>
        </w:rPr>
      </w:r>
      <w:bookmarkStart w:id="27" w:name="_Toc73365460"/>
      <w:r>
        <w:rPr>
          <w:rFonts w:hint="eastAsia" w:ascii="宋体" w:hAnsi="宋体" w:eastAsia="宋体"/>
          <w:b w:val="0"/>
          <w:color w:val="auto"/>
          <w:highlight w:val="none"/>
          <w:lang w:eastAsia="zh-CN"/>
        </w:rPr>
        <w:t xml:space="preserve">四、首次响应文件提交</w:t>
      </w:r>
      <w:bookmarkEnd w:id="25"/>
      <w:r>
        <w:rPr>
          <w:highlight w:val="none"/>
        </w:rPr>
      </w:r>
      <w:bookmarkEnd w:id="26"/>
      <w:r>
        <w:rPr>
          <w:highlight w:val="none"/>
        </w:rPr>
      </w:r>
      <w:bookmarkEnd w:id="27"/>
      <w:r>
        <w:rPr>
          <w:highlight w:val="none"/>
        </w:rPr>
      </w:r>
      <w:r/>
    </w:p>
    <w:p>
      <w:pPr>
        <w:ind w:firstLine="480"/>
        <w:spacing w:line="360" w:lineRule="auto"/>
        <w:rPr>
          <w:rFonts w:hint="eastAsia" w:ascii="宋体" w:hAnsi="宋体"/>
          <w:bCs/>
          <w:color w:val="auto"/>
          <w:sz w:val="24"/>
          <w:szCs w:val="28"/>
          <w:highlight w:val="none"/>
        </w:rPr>
      </w:pPr>
      <w:r>
        <w:rPr>
          <w:rFonts w:hint="eastAsia" w:ascii="宋体" w:hAnsi="宋体"/>
          <w:color w:val="auto"/>
          <w:sz w:val="24"/>
          <w:highlight w:val="none"/>
        </w:rPr>
        <w:t xml:space="preserve">电子响应文件</w:t>
      </w:r>
      <w:r>
        <w:rPr>
          <w:highlight w:val="none"/>
        </w:rPr>
      </w:r>
      <w:r/>
    </w:p>
    <w:p>
      <w:pPr>
        <w:ind w:firstLine="480"/>
        <w:spacing w:line="360" w:lineRule="auto"/>
        <w:rPr>
          <w:rFonts w:hint="eastAsia" w:ascii="宋体" w:hAnsi="宋体"/>
          <w:bCs/>
          <w:color w:val="auto"/>
          <w:sz w:val="24"/>
          <w:szCs w:val="28"/>
          <w:highlight w:val="none"/>
          <w:u w:val="single"/>
        </w:rPr>
      </w:pPr>
      <w:r>
        <w:rPr>
          <w:rFonts w:hint="eastAsia" w:ascii="宋体" w:hAnsi="宋体"/>
          <w:bCs/>
          <w:color w:val="auto"/>
          <w:sz w:val="24"/>
          <w:szCs w:val="28"/>
          <w:highlight w:val="none"/>
        </w:rPr>
        <w:t xml:space="preserve">截止时间：</w:t>
      </w:r>
      <w:r>
        <w:rPr>
          <w:rFonts w:hint="eastAsia" w:ascii="宋体" w:hAnsi="宋体"/>
          <w:color w:val="auto"/>
          <w:sz w:val="24"/>
          <w:szCs w:val="28"/>
          <w:highlight w:val="none"/>
        </w:rPr>
        <w:t xml:space="preserve">2025-</w:t>
      </w:r>
      <w:r>
        <w:rPr>
          <w:rFonts w:hint="eastAsia" w:ascii="宋体" w:hAnsi="宋体"/>
          <w:color w:val="auto"/>
          <w:sz w:val="24"/>
          <w:szCs w:val="28"/>
          <w:highlight w:val="none"/>
          <w:lang w:val="en-US" w:eastAsia="zh-CN"/>
        </w:rPr>
        <w:t xml:space="preserve"> 12</w:t>
      </w:r>
      <w:r>
        <w:rPr>
          <w:rFonts w:hint="eastAsia" w:ascii="宋体" w:hAnsi="宋体"/>
          <w:color w:val="auto"/>
          <w:sz w:val="24"/>
          <w:szCs w:val="28"/>
          <w:highlight w:val="none"/>
        </w:rPr>
        <w:t xml:space="preserve"> -</w:t>
      </w:r>
      <w:r>
        <w:rPr>
          <w:rFonts w:hint="eastAsia" w:ascii="宋体" w:hAnsi="宋体"/>
          <w:color w:val="auto"/>
          <w:sz w:val="24"/>
          <w:szCs w:val="28"/>
          <w:highlight w:val="none"/>
          <w:lang w:val="en-US" w:eastAsia="zh-CN"/>
        </w:rPr>
        <w:t xml:space="preserve"> 15 </w:t>
      </w:r>
      <w:r>
        <w:rPr>
          <w:rFonts w:hint="eastAsia" w:ascii="宋体" w:hAnsi="宋体"/>
          <w:color w:val="auto"/>
          <w:sz w:val="24"/>
          <w:szCs w:val="28"/>
          <w:highlight w:val="none"/>
        </w:rPr>
        <w:t xml:space="preserve">  9:30（北京时间）</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地点：</w:t>
      </w:r>
      <w:bookmarkStart w:id="28" w:name="EB5dadb72067b4484a9157eb73618cfc06"/>
      <w:r>
        <w:rPr>
          <w:rFonts w:hint="eastAsia" w:ascii="宋体" w:hAnsi="宋体"/>
          <w:color w:val="auto"/>
          <w:sz w:val="24"/>
          <w:szCs w:val="28"/>
          <w:highlight w:val="none"/>
        </w:rPr>
        <w:t xml:space="preserve">在线提交</w:t>
      </w:r>
      <w:bookmarkEnd w:id="28"/>
      <w:r>
        <w:rPr>
          <w:highlight w:val="none"/>
        </w:rPr>
      </w:r>
      <w:r/>
    </w:p>
    <w:p>
      <w:pPr>
        <w:ind w:firstLine="480"/>
        <w:jc w:val="left"/>
        <w:spacing w:line="360" w:lineRule="auto"/>
        <w:rPr>
          <w:rStyle w:val="1042"/>
          <w:rFonts w:hint="eastAsia" w:ascii="宋体" w:hAnsi="宋体"/>
          <w:color w:val="auto"/>
          <w:sz w:val="24"/>
          <w:szCs w:val="28"/>
          <w:highlight w:val="none"/>
        </w:rPr>
      </w:pPr>
      <w:r>
        <w:rPr>
          <w:rFonts w:hint="eastAsia" w:ascii="宋体" w:hAnsi="宋体"/>
          <w:color w:val="auto"/>
          <w:sz w:val="24"/>
          <w:szCs w:val="28"/>
          <w:highlight w:val="none"/>
        </w:rPr>
        <w:t xml:space="preserve">操作指南： </w:t>
      </w:r>
      <w:bookmarkStart w:id="29" w:name="_Toc73364848"/>
      <w:r>
        <w:rPr>
          <w:highlight w:val="none"/>
        </w:rPr>
      </w:r>
      <w:bookmarkStart w:id="30" w:name="_Toc73365461"/>
      <w:r>
        <w:rPr>
          <w:highlight w:val="none"/>
        </w:rPr>
      </w:r>
      <w:bookmarkStart w:id="31" w:name="_Toc256000005"/>
      <w:r>
        <w:rPr>
          <w:rStyle w:val="1042"/>
          <w:rFonts w:ascii="宋体" w:hAnsi="宋体"/>
          <w:color w:val="auto"/>
          <w:sz w:val="24"/>
          <w:szCs w:val="28"/>
          <w:highlight w:val="none"/>
        </w:rPr>
        <w:fldChar w:fldCharType="begin"/>
      </w:r>
      <w:r>
        <w:rPr>
          <w:rStyle w:val="1042"/>
          <w:rFonts w:ascii="宋体" w:hAnsi="宋体"/>
          <w:color w:val="auto"/>
          <w:sz w:val="24"/>
          <w:szCs w:val="28"/>
          <w:highlight w:val="none"/>
        </w:rPr>
        <w:instrText xml:space="preserve"> HYPERLINK "https://ggzy.zhenjiang.gov.cn/xzzq/20230830/c4df61fd-89bd-41b1-b5e7-700bb01af128.html" </w:instrText>
      </w:r>
      <w:r>
        <w:rPr>
          <w:rStyle w:val="1042"/>
          <w:rFonts w:ascii="宋体" w:hAnsi="宋体"/>
          <w:color w:val="auto"/>
          <w:sz w:val="24"/>
          <w:szCs w:val="28"/>
          <w:highlight w:val="none"/>
        </w:rPr>
        <w:fldChar w:fldCharType="separate"/>
      </w:r>
      <w:r>
        <w:rPr>
          <w:rStyle w:val="1042"/>
          <w:rFonts w:ascii="宋体" w:hAnsi="宋体"/>
          <w:color w:val="auto"/>
          <w:sz w:val="24"/>
          <w:szCs w:val="28"/>
          <w:highlight w:val="none"/>
        </w:rPr>
        <w:t xml:space="preserve">https://ggzy.zhenjiang.gov.cn/xzzq/20230830/c4df61fd-89bd-41b1-b5e7-700bb01af128.html</w:t>
      </w:r>
      <w:r>
        <w:rPr>
          <w:rStyle w:val="1042"/>
          <w:rFonts w:ascii="宋体" w:hAnsi="宋体"/>
          <w:color w:val="auto"/>
          <w:sz w:val="24"/>
          <w:szCs w:val="28"/>
          <w:highlight w:val="none"/>
        </w:rPr>
        <w:fldChar w:fldCharType="end"/>
      </w:r>
      <w:r>
        <w:rPr>
          <w:highlight w:val="none"/>
        </w:rPr>
      </w:r>
      <w:r/>
    </w:p>
    <w:p>
      <w:pPr>
        <w:pStyle w:val="1002"/>
        <w:jc w:val="left"/>
        <w:rPr>
          <w:rFonts w:hint="eastAsia" w:ascii="宋体" w:hAnsi="宋体" w:eastAsia="宋体"/>
          <w:b w:val="0"/>
          <w:color w:val="auto"/>
          <w:highlight w:val="none"/>
        </w:rPr>
      </w:pPr>
      <w:r>
        <w:rPr>
          <w:rFonts w:hint="eastAsia" w:ascii="宋体" w:hAnsi="宋体" w:eastAsia="宋体"/>
          <w:b w:val="0"/>
          <w:color w:val="auto"/>
          <w:highlight w:val="none"/>
          <w:lang w:eastAsia="zh-CN"/>
        </w:rPr>
        <w:t xml:space="preserve">五、开启</w:t>
      </w:r>
      <w:bookmarkEnd w:id="29"/>
      <w:r>
        <w:rPr>
          <w:highlight w:val="none"/>
        </w:rPr>
      </w:r>
      <w:bookmarkEnd w:id="30"/>
      <w:r>
        <w:rPr>
          <w:highlight w:val="none"/>
        </w:rPr>
      </w:r>
      <w:bookmarkEnd w:id="31"/>
      <w:r>
        <w:rPr>
          <w:highlight w:val="none"/>
        </w:rPr>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时间：2025-</w:t>
      </w:r>
      <w:r>
        <w:rPr>
          <w:rFonts w:hint="eastAsia" w:ascii="宋体" w:hAnsi="宋体"/>
          <w:color w:val="auto"/>
          <w:sz w:val="24"/>
          <w:szCs w:val="28"/>
          <w:highlight w:val="none"/>
          <w:lang w:val="en-US" w:eastAsia="zh-CN"/>
        </w:rPr>
        <w:t xml:space="preserve"> 12</w:t>
      </w:r>
      <w:r>
        <w:rPr>
          <w:rFonts w:hint="eastAsia" w:ascii="宋体" w:hAnsi="宋体"/>
          <w:color w:val="auto"/>
          <w:sz w:val="24"/>
          <w:szCs w:val="28"/>
          <w:highlight w:val="none"/>
        </w:rPr>
        <w:t xml:space="preserve">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15</w:t>
      </w:r>
      <w:r>
        <w:rPr>
          <w:rFonts w:hint="eastAsia" w:ascii="宋体" w:hAnsi="宋体"/>
          <w:color w:val="auto"/>
          <w:sz w:val="24"/>
          <w:szCs w:val="28"/>
          <w:highlight w:val="none"/>
        </w:rPr>
        <w:t xml:space="preserve">  9:30（北京时间）</w:t>
      </w:r>
      <w:r>
        <w:rPr>
          <w:highlight w:val="none"/>
        </w:rPr>
      </w:r>
      <w:r/>
    </w:p>
    <w:p>
      <w:pPr>
        <w:ind w:firstLine="480"/>
        <w:jc w:val="left"/>
        <w:spacing w:line="360" w:lineRule="auto"/>
        <w:rPr>
          <w:rFonts w:hint="eastAsia" w:ascii="宋体" w:hAnsi="宋体" w:cs="宋体"/>
          <w:color w:val="auto"/>
          <w:sz w:val="24"/>
          <w:szCs w:val="28"/>
          <w:highlight w:val="none"/>
        </w:rPr>
      </w:pPr>
      <w:r>
        <w:rPr>
          <w:rFonts w:hint="eastAsia" w:ascii="宋体" w:hAnsi="宋体"/>
          <w:color w:val="auto"/>
          <w:sz w:val="24"/>
          <w:szCs w:val="28"/>
          <w:highlight w:val="none"/>
        </w:rPr>
        <w:t xml:space="preserve">地点：</w:t>
      </w:r>
      <w:bookmarkStart w:id="32" w:name="EBbaa17d39a49c4535bcb10d971b5d2238"/>
      <w:r>
        <w:rPr>
          <w:rFonts w:hint="eastAsia" w:ascii="宋体" w:hAnsi="宋体"/>
          <w:color w:val="auto"/>
          <w:sz w:val="24"/>
          <w:szCs w:val="28"/>
          <w:highlight w:val="none"/>
        </w:rPr>
        <w:t xml:space="preserve">苏采云开标大厅</w:t>
      </w:r>
      <w:bookmarkEnd w:id="32"/>
      <w:r>
        <w:rPr>
          <w:highlight w:val="none"/>
        </w:rPr>
      </w:r>
      <w:bookmarkStart w:id="33" w:name="_Toc73364849"/>
      <w:r>
        <w:rPr>
          <w:highlight w:val="none"/>
        </w:rPr>
      </w:r>
      <w:bookmarkStart w:id="34" w:name="_Toc73365462"/>
      <w:r>
        <w:rPr>
          <w:highlight w:val="none"/>
        </w:rPr>
      </w:r>
      <w:bookmarkStart w:id="35" w:name="_Toc256000006"/>
      <w:r>
        <w:rPr>
          <w:rFonts w:hint="eastAsia" w:ascii="宋体" w:hAnsi="宋体" w:cs="宋体"/>
          <w:color w:val="auto"/>
          <w:sz w:val="24"/>
          <w:szCs w:val="28"/>
          <w:highlight w:val="none"/>
        </w:rPr>
        <w:t xml:space="preserve">（http://jszfcg.jsczt.cn/jszc/login?rf=http://jszfcg.jsczt.cn/jszc/workspace）</w:t>
      </w:r>
      <w:r>
        <w:rPr>
          <w:highlight w:val="none"/>
        </w:rPr>
      </w:r>
      <w:r/>
    </w:p>
    <w:p>
      <w:pPr>
        <w:ind w:firstLine="480"/>
        <w:spacing w:line="360" w:lineRule="auto"/>
        <w:rPr>
          <w:rFonts w:hint="eastAsia" w:ascii="宋体" w:hAnsi="宋体"/>
          <w:color w:val="auto"/>
          <w:sz w:val="24"/>
          <w:szCs w:val="28"/>
          <w:highlight w:val="none"/>
        </w:rPr>
      </w:pPr>
      <w:r>
        <w:rPr>
          <w:highlight w:val="none"/>
        </w:rPr>
      </w:r>
      <w:bookmarkStart w:id="36" w:name="EB1e3261ca0e404b5ba49c0c1ef6c2e0b2"/>
      <w:r>
        <w:rPr>
          <w:highlight w:val="none"/>
        </w:rPr>
      </w:r>
      <w:bookmarkEnd w:id="36"/>
      <w:r>
        <w:rPr>
          <w:rFonts w:hint="eastAsia" w:ascii="宋体" w:hAnsi="宋体"/>
          <w:color w:val="auto"/>
          <w:sz w:val="24"/>
          <w:szCs w:val="28"/>
          <w:highlight w:val="none"/>
        </w:rPr>
        <w:t xml:space="preserve">（1）本项目通过</w:t>
      </w:r>
      <w:r>
        <w:rPr>
          <w:rFonts w:hint="eastAsia" w:ascii="宋体" w:hAnsi="宋体" w:cs="宋体"/>
          <w:color w:val="auto"/>
          <w:sz w:val="24"/>
          <w:szCs w:val="28"/>
          <w:highlight w:val="none"/>
        </w:rPr>
        <w:t xml:space="preserve">苏采云电子</w:t>
      </w:r>
      <w:r>
        <w:rPr>
          <w:rFonts w:hint="eastAsia" w:ascii="宋体" w:hAnsi="宋体"/>
          <w:color w:val="auto"/>
          <w:sz w:val="24"/>
          <w:szCs w:val="28"/>
          <w:highlight w:val="none"/>
        </w:rPr>
        <w:t xml:space="preserve">交易平台进行采购，供应商须通过《“苏采云”系统供应商操作手册》中指定的政府采购客户端工具在线制作并提交响应文件。</w:t>
      </w:r>
      <w:r>
        <w:rPr>
          <w:rFonts w:hint="eastAsia" w:ascii="宋体" w:hAnsi="宋体"/>
          <w:color w:val="auto"/>
          <w:sz w:val="24"/>
          <w:szCs w:val="24"/>
          <w:highlight w:val="none"/>
        </w:rPr>
        <w:t xml:space="preserve">将后缀名为“.kedt”的采购文件导入政府采购客户端工具--制作响应文件--导出加密的响应文件(后缀名为zip) --通过“苏采云”系统上传响应文件。</w:t>
      </w:r>
      <w:r>
        <w:rPr>
          <w:rFonts w:hint="eastAsia" w:ascii="宋体" w:hAnsi="宋体"/>
          <w:color w:val="auto"/>
          <w:sz w:val="24"/>
          <w:szCs w:val="28"/>
          <w:highlight w:val="none"/>
        </w:rPr>
        <w:t xml:space="preserve">政府采购客户端工具可通过“苏采云”系统--已报名项目--报名详情页面内相应链接进行下载，截至提交电子响应文件截止时间，电子交易平台投标通道将关闭，供应商未完成电子响应文件有效提交的，其响应将被拒绝。</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（2）本项目采用远程不见面交易模式，通过不见面交易系统及相应的配套硬件设备（摄像头、话筒、麦克风等）完成远程解密、开标现场异议及回复、开标唱标等交互环节。</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不见面交易相关要求和说明如下：</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（1）不见面开标项目的时间均以国家授时中心发布的时间为准；</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（2）开标当日，供应商不必抵达开标现场，仅需在任意地点通过“苏采云”系统（网址：http：//jszfcg.jsczt.cn/）进入系统“开标大厅”参与开标过程；</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color w:val="auto"/>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（5）因供应商自身软硬件配备不齐全或发生故障等问题而导致在交互过程中出现不稳定或中断等情况的，由供应商自身承担后果。</w:t>
      </w:r>
      <w:r>
        <w:rPr>
          <w:highlight w:val="none"/>
        </w:rPr>
      </w:r>
      <w:r/>
    </w:p>
    <w:p>
      <w:pPr>
        <w:pStyle w:val="1002"/>
        <w:jc w:val="left"/>
        <w:rPr>
          <w:rFonts w:hint="eastAsia" w:ascii="宋体" w:hAnsi="宋体" w:eastAsia="宋体"/>
          <w:b w:val="0"/>
          <w:color w:val="auto"/>
          <w:highlight w:val="none"/>
        </w:rPr>
      </w:pPr>
      <w:r>
        <w:rPr>
          <w:rFonts w:hint="eastAsia" w:ascii="宋体" w:hAnsi="宋体" w:eastAsia="宋体"/>
          <w:b w:val="0"/>
          <w:color w:val="auto"/>
          <w:highlight w:val="none"/>
          <w:lang w:eastAsia="zh-CN"/>
        </w:rPr>
        <w:t xml:space="preserve">六、公告期限</w:t>
      </w:r>
      <w:bookmarkEnd w:id="33"/>
      <w:r>
        <w:rPr>
          <w:highlight w:val="none"/>
        </w:rPr>
      </w:r>
      <w:bookmarkEnd w:id="34"/>
      <w:r>
        <w:rPr>
          <w:highlight w:val="none"/>
        </w:rPr>
      </w:r>
      <w:bookmarkEnd w:id="35"/>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自本公告发布之日起3个工作日。</w:t>
      </w:r>
      <w:r>
        <w:rPr>
          <w:highlight w:val="none"/>
        </w:rPr>
      </w:r>
      <w:r/>
    </w:p>
    <w:p>
      <w:pPr>
        <w:pStyle w:val="1002"/>
        <w:jc w:val="left"/>
        <w:rPr>
          <w:rFonts w:hint="eastAsia" w:ascii="宋体" w:hAnsi="宋体" w:eastAsia="宋体"/>
          <w:b w:val="0"/>
          <w:color w:val="auto"/>
          <w:highlight w:val="none"/>
        </w:rPr>
      </w:pPr>
      <w:r>
        <w:rPr>
          <w:highlight w:val="none"/>
        </w:rPr>
      </w:r>
      <w:bookmarkStart w:id="37" w:name="_Toc73365463"/>
      <w:r>
        <w:rPr>
          <w:highlight w:val="none"/>
        </w:rPr>
      </w:r>
      <w:bookmarkStart w:id="38" w:name="_Toc73364850"/>
      <w:r>
        <w:rPr>
          <w:highlight w:val="none"/>
        </w:rPr>
      </w:r>
      <w:bookmarkStart w:id="39" w:name="_Toc256000007"/>
      <w:r>
        <w:rPr>
          <w:rFonts w:hint="eastAsia" w:ascii="宋体" w:hAnsi="宋体" w:eastAsia="宋体"/>
          <w:b w:val="0"/>
          <w:color w:val="auto"/>
          <w:highlight w:val="none"/>
          <w:lang w:eastAsia="zh-CN"/>
        </w:rPr>
        <w:t xml:space="preserve">七、其他补充事宜</w:t>
      </w:r>
      <w:bookmarkEnd w:id="37"/>
      <w:r>
        <w:rPr>
          <w:highlight w:val="none"/>
        </w:rPr>
      </w:r>
      <w:bookmarkEnd w:id="38"/>
      <w:r>
        <w:rPr>
          <w:highlight w:val="none"/>
        </w:rPr>
      </w:r>
      <w:bookmarkEnd w:id="39"/>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无。</w:t>
      </w:r>
      <w:r>
        <w:rPr>
          <w:highlight w:val="none"/>
        </w:rPr>
      </w:r>
      <w:r/>
    </w:p>
    <w:p>
      <w:pPr>
        <w:pStyle w:val="1002"/>
        <w:jc w:val="left"/>
        <w:rPr>
          <w:color w:val="auto"/>
          <w:highlight w:val="none"/>
        </w:rPr>
      </w:pPr>
      <w:r>
        <w:rPr>
          <w:highlight w:val="none"/>
        </w:rPr>
      </w:r>
      <w:bookmarkStart w:id="40" w:name="_Toc73365464"/>
      <w:r>
        <w:rPr>
          <w:highlight w:val="none"/>
        </w:rPr>
      </w:r>
      <w:bookmarkStart w:id="41" w:name="_Toc73364851"/>
      <w:r>
        <w:rPr>
          <w:highlight w:val="none"/>
        </w:rPr>
      </w:r>
      <w:bookmarkStart w:id="42" w:name="_Toc256000008"/>
      <w:r>
        <w:rPr>
          <w:rFonts w:hint="eastAsia" w:ascii="宋体" w:hAnsi="宋体" w:eastAsia="宋体"/>
          <w:b w:val="0"/>
          <w:color w:val="auto"/>
          <w:highlight w:val="none"/>
          <w:lang w:eastAsia="zh-CN"/>
        </w:rPr>
        <w:t xml:space="preserve">八、对本次磋商提出询问，请按以下方式联系。</w:t>
      </w:r>
      <w:bookmarkEnd w:id="40"/>
      <w:r>
        <w:rPr>
          <w:highlight w:val="none"/>
        </w:rPr>
      </w:r>
      <w:bookmarkEnd w:id="41"/>
      <w:r>
        <w:rPr>
          <w:highlight w:val="none"/>
        </w:rPr>
      </w:r>
      <w:bookmarkEnd w:id="42"/>
      <w:r>
        <w:rPr>
          <w:highlight w:val="none"/>
        </w:rPr>
      </w:r>
      <w:r/>
    </w:p>
    <w:p>
      <w:pPr>
        <w:ind w:firstLine="480"/>
        <w:spacing w:line="360" w:lineRule="auto"/>
        <w:widowControl/>
        <w:rPr>
          <w:rFonts w:hint="eastAsia" w:ascii="宋体" w:hAnsi="宋体"/>
          <w:color w:val="auto"/>
          <w:sz w:val="24"/>
          <w:szCs w:val="28"/>
          <w:highlight w:val="none"/>
        </w:rPr>
      </w:pPr>
      <w:r>
        <w:rPr>
          <w:rFonts w:hint="eastAsia" w:ascii="宋体" w:hAnsi="宋体" w:cs="宋体"/>
          <w:color w:val="auto"/>
          <w:sz w:val="24"/>
          <w:szCs w:val="28"/>
          <w:highlight w:val="none"/>
        </w:rPr>
        <w:t xml:space="preserve">1.采购人信息</w:t>
      </w:r>
      <w:r>
        <w:rPr>
          <w:highlight w:val="none"/>
        </w:rPr>
      </w:r>
      <w:r/>
    </w:p>
    <w:p>
      <w:pPr>
        <w:ind w:firstLine="480"/>
        <w:spacing w:line="360" w:lineRule="auto"/>
        <w:widowControl/>
        <w:rPr>
          <w:rFonts w:hint="eastAsia" w:ascii="宋体" w:hAnsi="宋体"/>
          <w:color w:val="auto"/>
          <w:sz w:val="24"/>
          <w:szCs w:val="28"/>
          <w:highlight w:val="none"/>
        </w:rPr>
      </w:pPr>
      <w:r>
        <w:rPr>
          <w:rFonts w:hint="eastAsia" w:ascii="宋体" w:hAnsi="宋体"/>
          <w:color w:val="auto"/>
          <w:sz w:val="24"/>
          <w:szCs w:val="28"/>
          <w:highlight w:val="none"/>
        </w:rPr>
        <w:t xml:space="preserve">名 称：</w:t>
      </w:r>
      <w:r>
        <w:rPr>
          <w:rFonts w:hint="eastAsia" w:ascii="宋体" w:hAnsi="宋体" w:cs="宋体"/>
          <w:color w:val="auto"/>
          <w:sz w:val="24"/>
          <w:szCs w:val="28"/>
          <w:highlight w:val="none"/>
          <w:lang w:eastAsia="zh-CN"/>
        </w:rPr>
        <w:t xml:space="preserve">句容市下蜀镇人民政府</w:t>
      </w:r>
      <w:r>
        <w:rPr>
          <w:highlight w:val="none"/>
        </w:rPr>
      </w:r>
      <w:r/>
    </w:p>
    <w:p>
      <w:pPr>
        <w:ind w:firstLine="480"/>
        <w:jc w:val="left"/>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地 址：</w:t>
      </w:r>
      <w:r>
        <w:rPr>
          <w:rFonts w:hint="eastAsia" w:ascii="宋体" w:hAnsi="宋体"/>
          <w:color w:val="auto"/>
          <w:sz w:val="24"/>
          <w:szCs w:val="28"/>
          <w:highlight w:val="none"/>
          <w:lang w:eastAsia="zh-CN"/>
        </w:rPr>
        <w:t xml:space="preserve">句容市下蜀镇</w:t>
      </w:r>
      <w:r>
        <w:rPr>
          <w:rFonts w:hint="eastAsia" w:ascii="宋体" w:hAnsi="宋体"/>
          <w:color w:val="auto"/>
          <w:sz w:val="24"/>
          <w:szCs w:val="28"/>
          <w:highlight w:val="none"/>
          <w:lang w:val="en-US" w:eastAsia="zh-CN"/>
        </w:rPr>
        <w:t xml:space="preserve"> </w:t>
      </w:r>
      <w:r>
        <w:rPr>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朱所</w:t>
      </w:r>
      <w:r>
        <w:rPr>
          <w:highlight w:val="none"/>
        </w:rPr>
      </w:r>
      <w:r/>
    </w:p>
    <w:p>
      <w:pPr>
        <w:ind w:firstLine="480"/>
        <w:spacing w:line="360" w:lineRule="auto"/>
        <w:widowControl/>
        <w:rPr>
          <w:rFonts w:hint="eastAsia"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rPr>
          <w:highlight w:val="none"/>
        </w:rPr>
      </w:r>
      <w:r/>
    </w:p>
    <w:p>
      <w:pPr>
        <w:ind w:firstLine="480"/>
        <w:spacing w:line="360" w:lineRule="auto"/>
        <w:widowControl/>
        <w:rPr>
          <w:rFonts w:hint="eastAsia" w:ascii="宋体" w:hAnsi="宋体"/>
          <w:color w:val="auto"/>
          <w:sz w:val="24"/>
          <w:szCs w:val="28"/>
          <w:highlight w:val="none"/>
        </w:rPr>
      </w:pPr>
      <w:r>
        <w:rPr>
          <w:rFonts w:hint="eastAsia" w:ascii="宋体" w:hAnsi="宋体"/>
          <w:color w:val="auto"/>
          <w:sz w:val="24"/>
          <w:szCs w:val="28"/>
          <w:highlight w:val="none"/>
        </w:rPr>
        <w:t xml:space="preserve">名 称：大洲设计咨询集团有限公司</w:t>
      </w:r>
      <w:r>
        <w:rPr>
          <w:highlight w:val="none"/>
        </w:rPr>
      </w:r>
      <w:r/>
    </w:p>
    <w:p>
      <w:pPr>
        <w:ind w:firstLine="480"/>
        <w:spacing w:line="360" w:lineRule="auto"/>
        <w:widowControl/>
        <w:rPr>
          <w:rFonts w:hint="eastAsia" w:ascii="宋体" w:hAnsi="宋体"/>
          <w:color w:val="auto"/>
          <w:sz w:val="24"/>
          <w:szCs w:val="28"/>
          <w:highlight w:val="none"/>
        </w:rPr>
      </w:pPr>
      <w:r>
        <w:rPr>
          <w:rFonts w:hint="eastAsia" w:ascii="宋体" w:hAnsi="宋体"/>
          <w:color w:val="auto"/>
          <w:sz w:val="24"/>
          <w:szCs w:val="28"/>
          <w:highlight w:val="none"/>
        </w:rPr>
        <w:t xml:space="preserve">地 址：句容市世茂汇金大厦三单元</w:t>
      </w:r>
      <w:r>
        <w:rPr>
          <w:highlight w:val="none"/>
        </w:rPr>
      </w:r>
      <w:r/>
    </w:p>
    <w:p>
      <w:pPr>
        <w:ind w:firstLine="480"/>
        <w:spacing w:line="360" w:lineRule="auto"/>
        <w:widowControl/>
        <w:rPr>
          <w:rFonts w:hint="eastAsia" w:ascii="宋体" w:hAnsi="宋体"/>
          <w:color w:val="auto"/>
          <w:sz w:val="24"/>
          <w:szCs w:val="28"/>
          <w:highlight w:val="none"/>
        </w:rPr>
      </w:pPr>
      <w:r>
        <w:rPr>
          <w:rFonts w:hint="eastAsia" w:ascii="宋体" w:hAnsi="宋体"/>
          <w:color w:val="auto"/>
          <w:sz w:val="24"/>
          <w:szCs w:val="28"/>
          <w:highlight w:val="none"/>
        </w:rPr>
        <w:t xml:space="preserve">联系方式：李工18796047572</w:t>
      </w:r>
      <w:r>
        <w:rPr>
          <w:highlight w:val="none"/>
        </w:rPr>
      </w:r>
      <w:r/>
    </w:p>
    <w:p>
      <w:pPr>
        <w:pStyle w:val="1002"/>
        <w:jc w:val="left"/>
        <w:rPr>
          <w:rFonts w:hint="eastAsia" w:ascii="宋体" w:hAnsi="宋体" w:eastAsia="宋体"/>
          <w:b w:val="0"/>
          <w:color w:val="auto"/>
          <w:highlight w:val="none"/>
        </w:rPr>
      </w:pPr>
      <w:r>
        <w:rPr>
          <w:highlight w:val="none"/>
        </w:rPr>
      </w:r>
      <w:bookmarkStart w:id="43" w:name="_Toc73365465"/>
      <w:r>
        <w:rPr>
          <w:highlight w:val="none"/>
        </w:rPr>
      </w:r>
      <w:bookmarkStart w:id="44" w:name="_Toc256000009"/>
      <w:r>
        <w:rPr>
          <w:highlight w:val="none"/>
        </w:rPr>
      </w:r>
      <w:bookmarkStart w:id="45" w:name="_Toc73364852"/>
      <w:r>
        <w:rPr>
          <w:rFonts w:hint="eastAsia" w:ascii="宋体" w:hAnsi="宋体" w:eastAsia="宋体"/>
          <w:b w:val="0"/>
          <w:color w:val="auto"/>
          <w:highlight w:val="none"/>
          <w:lang w:eastAsia="zh-CN"/>
        </w:rPr>
        <w:t xml:space="preserve">九、注意事项</w:t>
      </w:r>
      <w:bookmarkEnd w:id="43"/>
      <w:r>
        <w:rPr>
          <w:highlight w:val="none"/>
        </w:rPr>
      </w:r>
      <w:bookmarkEnd w:id="44"/>
      <w:r>
        <w:rPr>
          <w:highlight w:val="none"/>
        </w:rPr>
      </w:r>
      <w:bookmarkEnd w:id="45"/>
      <w:r>
        <w:rPr>
          <w:highlight w:val="none"/>
        </w:rPr>
      </w:r>
      <w:r/>
    </w:p>
    <w:p>
      <w:pPr>
        <w:ind w:firstLine="480"/>
        <w:jc w:val="left"/>
        <w:spacing w:line="360" w:lineRule="auto"/>
        <w:rPr>
          <w:rFonts w:hint="eastAsia" w:ascii="宋体" w:hAnsi="宋体" w:cs="宋体"/>
          <w:color w:val="auto"/>
          <w:sz w:val="24"/>
          <w:szCs w:val="28"/>
          <w:highlight w:val="none"/>
        </w:rPr>
      </w:pPr>
      <w:r>
        <w:rPr>
          <w:highlight w:val="none"/>
        </w:rPr>
      </w:r>
      <w:bookmarkStart w:id="46" w:name="EBcc5e545016af4675b3c62ff4ab859aac"/>
      <w:r>
        <w:rPr>
          <w:rFonts w:hint="eastAsia" w:ascii="宋体" w:hAnsi="宋体" w:cs="宋体"/>
          <w:color w:val="auto"/>
          <w:sz w:val="24"/>
          <w:szCs w:val="28"/>
          <w:highlight w:val="none"/>
        </w:rPr>
        <w:t xml:space="preserve">1.本项目通过电子交易平台进行采购，请供应商提前详细阅读《</w:t>
      </w:r>
      <w:r>
        <w:rPr>
          <w:rFonts w:hint="eastAsia" w:ascii="宋体" w:hAnsi="宋体" w:cs="宋体"/>
          <w:color w:val="auto"/>
          <w:sz w:val="24"/>
          <w:szCs w:val="24"/>
          <w:highlight w:val="none"/>
        </w:rPr>
        <w:t xml:space="preserve">“苏采云”系统供应商操作手册</w:t>
      </w:r>
      <w:r>
        <w:rPr>
          <w:rFonts w:hint="eastAsia" w:ascii="宋体" w:hAnsi="宋体" w:cs="宋体"/>
          <w:color w:val="auto"/>
          <w:sz w:val="24"/>
          <w:szCs w:val="28"/>
          <w:highlight w:val="none"/>
        </w:rPr>
        <w:t xml:space="preserve">》。下载地址：</w:t>
      </w:r>
      <w:r>
        <w:rPr>
          <w:color w:val="auto"/>
          <w:highlight w:val="none"/>
        </w:rPr>
        <w:fldChar w:fldCharType="begin"/>
      </w:r>
      <w:r>
        <w:rPr>
          <w:color w:val="auto"/>
          <w:highlight w:val="none"/>
        </w:rPr>
        <w:instrText xml:space="preserve"> HYPERLINK "https://ggzy.zhenjiang.gov.cn/xzzq/20230830/c4df61fd-89bd-41b1-b5e7-700bb01af128.html" \o "https://ggzy.zhenjiang.gov.cn/xzzq/20230830/c4df61fd-89bd-41b1-b5e7-700bb01af128.html" </w:instrText>
      </w:r>
      <w:r>
        <w:rPr>
          <w:color w:val="auto"/>
          <w:highlight w:val="none"/>
        </w:rPr>
        <w:fldChar w:fldCharType="separate"/>
      </w:r>
      <w:r>
        <w:rPr>
          <w:rStyle w:val="1042"/>
          <w:rFonts w:ascii="宋体" w:hAnsi="宋体"/>
          <w:color w:val="auto"/>
          <w:sz w:val="24"/>
          <w:szCs w:val="28"/>
          <w:highlight w:val="none"/>
        </w:rPr>
        <w:t xml:space="preserve">https://ggzy.zhenjiang.gov.cn/xzzq/20230830/c4df61fd-89bd-41b1-b5e7-700bb01af128.html</w:t>
      </w:r>
      <w:r>
        <w:rPr>
          <w:rStyle w:val="1042"/>
          <w:rFonts w:ascii="宋体" w:hAnsi="宋体"/>
          <w:color w:val="auto"/>
          <w:sz w:val="24"/>
          <w:szCs w:val="28"/>
          <w:highlight w:val="none"/>
        </w:rPr>
        <w:fldChar w:fldCharType="end"/>
      </w:r>
      <w:r>
        <w:rPr>
          <w:rFonts w:hint="eastAsia" w:ascii="宋体" w:hAnsi="宋体" w:cs="宋体"/>
          <w:color w:val="auto"/>
          <w:sz w:val="24"/>
          <w:szCs w:val="28"/>
          <w:highlight w:val="none"/>
        </w:rPr>
        <w:t xml:space="preserve">。供应商在系统使用过程中如遇到涉及平台使用的任何问题，应在工作日上午9：00-1</w:t>
      </w:r>
      <w:r>
        <w:rPr>
          <w:rFonts w:ascii="宋体" w:hAnsi="宋体" w:cs="宋体"/>
          <w:color w:val="auto"/>
          <w:sz w:val="24"/>
          <w:szCs w:val="28"/>
          <w:highlight w:val="none"/>
        </w:rPr>
        <w:t xml:space="preserve">1</w:t>
      </w:r>
      <w:r>
        <w:rPr>
          <w:rFonts w:hint="eastAsia" w:ascii="宋体" w:hAnsi="宋体" w:cs="宋体"/>
          <w:color w:val="auto"/>
          <w:sz w:val="24"/>
          <w:szCs w:val="28"/>
          <w:highlight w:val="none"/>
        </w:rPr>
        <w:t xml:space="preserve">:</w:t>
      </w:r>
      <w:r>
        <w:rPr>
          <w:rFonts w:ascii="宋体" w:hAnsi="宋体" w:cs="宋体"/>
          <w:color w:val="auto"/>
          <w:sz w:val="24"/>
          <w:szCs w:val="28"/>
          <w:highlight w:val="none"/>
        </w:rPr>
        <w:t xml:space="preserve">3</w:t>
      </w:r>
      <w:r>
        <w:rPr>
          <w:rFonts w:hint="eastAsia" w:ascii="宋体" w:hAnsi="宋体" w:cs="宋体"/>
          <w:color w:val="auto"/>
          <w:sz w:val="24"/>
          <w:szCs w:val="28"/>
          <w:highlight w:val="none"/>
        </w:rPr>
        <w:t xml:space="preserve">0 下午13:30-17:30期间致电技术支持热线咨询，联系方式：0519-86722803  0519-86722805。</w:t>
      </w:r>
      <w:r>
        <w:rPr>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8"/>
          <w:highlight w:val="none"/>
        </w:rPr>
        <w:t xml:space="preserve">2.供应商需提前办理数字认证证书(</w:t>
      </w:r>
      <w:r>
        <w:rPr>
          <w:rFonts w:hint="eastAsia" w:ascii="宋体" w:hAnsi="宋体" w:cs="宋体"/>
          <w:color w:val="auto"/>
          <w:sz w:val="24"/>
          <w:szCs w:val="24"/>
          <w:highlight w:val="none"/>
        </w:rPr>
        <w:t xml:space="preserve">政务CA及方正签章)</w:t>
      </w:r>
      <w:r>
        <w:rPr>
          <w:rFonts w:hint="eastAsia" w:ascii="宋体" w:hAnsi="宋体" w:cs="宋体"/>
          <w:color w:val="auto"/>
          <w:sz w:val="24"/>
          <w:szCs w:val="28"/>
          <w:highlight w:val="none"/>
        </w:rPr>
        <w:t xml:space="preserve">，办理方式和注意事项详见:</w:t>
      </w:r>
      <w:r>
        <w:rPr>
          <w:rFonts w:ascii="宋体" w:hAnsi="宋体" w:cs="宋体"/>
          <w:color w:val="auto"/>
          <w:sz w:val="24"/>
          <w:szCs w:val="24"/>
          <w:highlight w:val="none"/>
        </w:rPr>
        <w:t xml:space="preserve"> </w:t>
      </w:r>
      <w:r>
        <w:rPr>
          <w:color w:val="auto"/>
          <w:highlight w:val="none"/>
        </w:rPr>
        <w:fldChar w:fldCharType="begin"/>
      </w:r>
      <w:r>
        <w:rPr>
          <w:color w:val="auto"/>
          <w:highlight w:val="none"/>
        </w:rPr>
        <w:instrText xml:space="preserve"> HYPERLINK "http://jsxcmm.com/help/help.html" \o "http://jsxcmm.com/help/help.html" </w:instrText>
      </w:r>
      <w:r>
        <w:rPr>
          <w:color w:val="auto"/>
          <w:highlight w:val="none"/>
        </w:rPr>
        <w:fldChar w:fldCharType="separate"/>
      </w:r>
      <w:r>
        <w:rPr>
          <w:rFonts w:ascii="宋体" w:hAnsi="宋体" w:cs="宋体"/>
          <w:color w:val="auto"/>
          <w:sz w:val="24"/>
          <w:szCs w:val="24"/>
          <w:highlight w:val="none"/>
        </w:rPr>
        <w:t xml:space="preserve">http://jsxcmm.com/help/help.html</w:t>
      </w:r>
      <w:r>
        <w:rPr>
          <w:rFonts w:ascii="宋体" w:hAnsi="宋体" w:cs="宋体"/>
          <w:color w:val="auto"/>
          <w:sz w:val="24"/>
          <w:szCs w:val="24"/>
          <w:highlight w:val="none"/>
        </w:rPr>
        <w:fldChar w:fldCharType="end"/>
      </w:r>
      <w:r>
        <w:rPr>
          <w:rFonts w:ascii="宋体" w:hAnsi="宋体" w:cs="宋体"/>
          <w:color w:val="auto"/>
          <w:sz w:val="24"/>
          <w:szCs w:val="24"/>
          <w:highlight w:val="none"/>
        </w:rPr>
        <w:t xml:space="preserve">。</w:t>
      </w:r>
      <w:r>
        <w:rPr>
          <w:highlight w:val="none"/>
        </w:rPr>
      </w:r>
      <w:r/>
    </w:p>
    <w:p>
      <w:pPr>
        <w:ind w:firstLine="480"/>
        <w:jc w:val="left"/>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w:t>
      </w:r>
      <w:r>
        <w:rPr>
          <w:rFonts w:hint="eastAsia" w:ascii="宋体" w:hAnsi="宋体"/>
          <w:color w:val="auto"/>
          <w:sz w:val="24"/>
          <w:highlight w:val="none"/>
        </w:rPr>
        <w:t xml:space="preserve">苏采云系统使用稳定谷歌浏览器（100版本以下）或360安全浏览器（极速模式）。</w:t>
      </w:r>
      <w:bookmarkEnd w:id="46"/>
      <w:r>
        <w:rPr>
          <w:highlight w:val="none"/>
        </w:rPr>
      </w:r>
      <w:r/>
    </w:p>
    <w:p>
      <w:pPr>
        <w:ind w:firstLine="5760"/>
        <w:spacing w:line="360" w:lineRule="auto"/>
        <w:rPr>
          <w:rFonts w:hint="eastAsia" w:ascii="宋体" w:hAnsi="宋体"/>
          <w:color w:val="auto"/>
          <w:sz w:val="24"/>
          <w:highlight w:val="none"/>
        </w:rPr>
      </w:pPr>
      <w:r>
        <w:rPr>
          <w:rFonts w:hint="eastAsia" w:ascii="宋体" w:hAnsi="宋体"/>
          <w:color w:val="auto"/>
          <w:sz w:val="24"/>
          <w:highlight w:val="none"/>
        </w:rPr>
        <w:t xml:space="preserve">大洲设计咨询集团有限公司</w:t>
      </w:r>
      <w:r>
        <w:rPr>
          <w:highlight w:val="none"/>
        </w:rPr>
      </w:r>
      <w:r/>
    </w:p>
    <w:p>
      <w:pPr>
        <w:ind w:right="480" w:firstLine="600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日期：</w:t>
      </w:r>
      <w:bookmarkStart w:id="47" w:name="EBd1723022ad2146beac3bb129e27cfe99"/>
      <w:r>
        <w:rPr>
          <w:rFonts w:hint="eastAsia" w:ascii="宋体" w:hAnsi="宋体" w:cs="宋体"/>
          <w:color w:val="auto"/>
          <w:sz w:val="24"/>
          <w:szCs w:val="28"/>
          <w:highlight w:val="none"/>
        </w:rPr>
        <w:t xml:space="preserve">2025年</w:t>
      </w:r>
      <w:r>
        <w:rPr>
          <w:rFonts w:hint="eastAsia" w:ascii="宋体" w:hAnsi="宋体" w:cs="宋体"/>
          <w:color w:val="auto"/>
          <w:sz w:val="24"/>
          <w:szCs w:val="28"/>
          <w:highlight w:val="none"/>
          <w:lang w:val="en-US" w:eastAsia="zh-CN"/>
        </w:rPr>
        <w:t xml:space="preserve">12</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01 </w:t>
      </w:r>
      <w:r>
        <w:rPr>
          <w:rFonts w:hint="eastAsia" w:ascii="宋体" w:hAnsi="宋体" w:cs="宋体"/>
          <w:color w:val="auto"/>
          <w:sz w:val="24"/>
          <w:szCs w:val="28"/>
          <w:highlight w:val="none"/>
        </w:rPr>
        <w:t xml:space="preserve">日</w:t>
      </w:r>
      <w:bookmarkEnd w:id="47"/>
      <w:r>
        <w:rPr>
          <w:highlight w:val="none"/>
        </w:rPr>
      </w:r>
      <w:bookmarkStart w:id="48" w:name="_Toc73364853"/>
      <w:r>
        <w:rPr>
          <w:highlight w:val="none"/>
        </w:rPr>
      </w:r>
      <w:bookmarkEnd w:id="48"/>
      <w:r>
        <w:rPr>
          <w:highlight w:val="none"/>
        </w:rPr>
      </w:r>
      <w:bookmarkStart w:id="49" w:name="_Toc256000010"/>
      <w:r>
        <w:rPr>
          <w:highlight w:val="none"/>
        </w:rPr>
      </w:r>
      <w:bookmarkEnd w:id="49"/>
      <w:r>
        <w:rPr>
          <w:highlight w:val="none"/>
        </w:rPr>
      </w:r>
      <w:bookmarkStart w:id="50" w:name="_Toc73365466"/>
      <w:r>
        <w:rPr>
          <w:highlight w:val="none"/>
        </w:rPr>
      </w:r>
      <w:bookmarkEnd w:id="50"/>
      <w:r>
        <w:rPr>
          <w:highlight w:val="none"/>
        </w:rPr>
      </w:r>
      <w:r/>
    </w:p>
    <w:p>
      <w:pPr>
        <w:pStyle w:val="1004"/>
        <w:jc w:val="center"/>
        <w:keepLines w:val="0"/>
        <w:keepNext w:val="0"/>
        <w:spacing w:before="0" w:after="0" w:line="360" w:lineRule="auto"/>
        <w:rPr>
          <w:color w:val="auto"/>
          <w:sz w:val="20"/>
          <w:highlight w:val="none"/>
        </w:rPr>
      </w:pPr>
      <w:r>
        <w:rPr>
          <w:highlight w:val="none"/>
        </w:rPr>
      </w:r>
      <w:bookmarkStart w:id="51" w:name="EBa296f577883c4f0bbc5440ff75db1386"/>
      <w:r>
        <w:rPr>
          <w:rFonts w:hint="eastAsia"/>
          <w:color w:val="auto"/>
          <w:sz w:val="20"/>
          <w:highlight w:val="none"/>
          <w:lang w:eastAsia="zh-CN"/>
        </w:rPr>
        <w:t xml:space="preserve"> </w:t>
      </w:r>
      <w:bookmarkEnd w:id="51"/>
      <w:r>
        <w:rPr>
          <w:highlight w:val="none"/>
        </w:rPr>
      </w:r>
      <w:bookmarkStart w:id="52" w:name="EB5cd81c9ed9c74e6abb08406c193c2747"/>
      <w:r>
        <w:rPr>
          <w:rFonts w:hint="eastAsia"/>
          <w:color w:val="auto"/>
          <w:sz w:val="20"/>
          <w:highlight w:val="none"/>
          <w:lang w:eastAsia="zh-CN"/>
        </w:rPr>
        <w:t xml:space="preserve"> </w:t>
      </w:r>
      <w:bookmarkEnd w:id="52"/>
      <w:r>
        <w:rPr>
          <w:highlight w:val="none"/>
        </w:rPr>
      </w:r>
      <w:r/>
    </w:p>
    <w:p>
      <w:pPr>
        <w:pStyle w:val="1004"/>
        <w:jc w:val="center"/>
        <w:keepLines w:val="0"/>
        <w:keepNext w:val="0"/>
        <w:spacing w:before="0" w:after="0" w:line="360" w:lineRule="auto"/>
        <w:rPr>
          <w:color w:val="auto"/>
          <w:sz w:val="20"/>
          <w:highlight w:val="none"/>
        </w:rPr>
      </w:pPr>
      <w:r>
        <w:rPr>
          <w:highlight w:val="none"/>
        </w:rPr>
      </w:r>
      <w:bookmarkStart w:id="979" w:name="_GoBack"/>
      <w:r>
        <w:rPr>
          <w:highlight w:val="none"/>
        </w:rPr>
      </w:r>
      <w:bookmarkEnd w:id="979"/>
      <w:r>
        <w:rPr>
          <w:highlight w:val="none"/>
        </w:rPr>
      </w:r>
      <w:r/>
    </w:p>
    <w:p>
      <w:pPr>
        <w:pStyle w:val="1004"/>
        <w:jc w:val="center"/>
        <w:keepLines w:val="0"/>
        <w:keepNext w:val="0"/>
        <w:spacing w:before="0" w:after="0" w:line="360" w:lineRule="auto"/>
        <w:rPr>
          <w:rFonts w:hint="eastAsia" w:ascii="宋体" w:hAnsi="宋体"/>
          <w:bCs w:val="0"/>
          <w:color w:val="auto"/>
          <w:highlight w:val="none"/>
        </w:rPr>
      </w:pPr>
      <w:r>
        <w:rPr>
          <w:rFonts w:hint="eastAsia" w:ascii="宋体" w:hAnsi="宋体"/>
          <w:bCs w:val="0"/>
          <w:color w:val="auto"/>
          <w:highlight w:val="none"/>
        </w:rPr>
      </w:r>
      <w:r>
        <w:rPr>
          <w:highlight w:val="none"/>
        </w:rPr>
      </w:r>
      <w:r/>
    </w:p>
    <w:p>
      <w:pPr>
        <w:pStyle w:val="1004"/>
        <w:jc w:val="center"/>
        <w:keepLines w:val="0"/>
        <w:keepNext w:val="0"/>
        <w:spacing w:before="0" w:after="0" w:line="360" w:lineRule="auto"/>
        <w:rPr>
          <w:rFonts w:hint="eastAsia" w:ascii="宋体" w:hAnsi="宋体"/>
          <w:bCs w:val="0"/>
          <w:color w:val="auto"/>
          <w:highlight w:val="none"/>
        </w:rPr>
      </w:pPr>
      <w:r>
        <w:rPr>
          <w:rFonts w:hint="eastAsia" w:ascii="宋体" w:hAnsi="宋体"/>
          <w:bCs w:val="0"/>
          <w:color w:val="auto"/>
          <w:highlight w:val="none"/>
        </w:rPr>
      </w:r>
      <w:r>
        <w:rPr>
          <w:highlight w:val="none"/>
        </w:rPr>
      </w:r>
      <w:r/>
    </w:p>
    <w:p>
      <w:pPr>
        <w:rPr>
          <w:color w:val="auto"/>
          <w:highlight w:val="none"/>
        </w:rPr>
      </w:pPr>
      <w:r>
        <w:rPr>
          <w:color w:val="auto"/>
          <w:highlight w:val="none"/>
        </w:rPr>
      </w:r>
      <w:r>
        <w:rPr>
          <w:highlight w:val="none"/>
        </w:rPr>
      </w:r>
      <w:r/>
    </w:p>
    <w:p>
      <w:pPr>
        <w:pStyle w:val="806"/>
        <w:rPr>
          <w:color w:val="auto"/>
          <w:highlight w:val="none"/>
        </w:rPr>
      </w:pPr>
      <w:r>
        <w:rPr>
          <w:color w:val="auto"/>
          <w:highlight w:val="none"/>
        </w:rPr>
      </w:r>
      <w:r>
        <w:rPr>
          <w:highlight w:val="none"/>
        </w:rPr>
      </w:r>
      <w:r/>
    </w:p>
    <w:p>
      <w:pPr>
        <w:pStyle w:val="806"/>
        <w:rPr>
          <w:color w:val="auto"/>
          <w:highlight w:val="none"/>
        </w:rPr>
      </w:pPr>
      <w:r>
        <w:rPr>
          <w:color w:val="auto"/>
          <w:highlight w:val="none"/>
        </w:rPr>
      </w:r>
      <w:r>
        <w:rPr>
          <w:highlight w:val="none"/>
        </w:rPr>
      </w:r>
      <w:r/>
    </w:p>
    <w:p>
      <w:pPr>
        <w:pStyle w:val="806"/>
        <w:rPr>
          <w:color w:val="auto"/>
          <w:highlight w:val="none"/>
        </w:rPr>
      </w:pPr>
      <w:r>
        <w:rPr>
          <w:color w:val="auto"/>
          <w:highlight w:val="none"/>
        </w:rPr>
      </w:r>
      <w:r>
        <w:rPr>
          <w:highlight w:val="none"/>
        </w:rPr>
      </w:r>
      <w:r/>
    </w:p>
    <w:p>
      <w:pPr>
        <w:pStyle w:val="1000"/>
        <w:ind w:firstLine="2891"/>
        <w:jc w:val="both"/>
        <w:rPr>
          <w:rFonts w:hint="eastAsia" w:ascii="宋体" w:hAnsi="宋体"/>
          <w:bCs w:val="0"/>
          <w:color w:val="auto"/>
          <w:highlight w:val="none"/>
        </w:rPr>
      </w:pPr>
      <w:r>
        <w:rPr>
          <w:rFonts w:hint="eastAsia" w:ascii="宋体" w:hAnsi="宋体"/>
          <w:color w:val="auto"/>
          <w:sz w:val="36"/>
          <w:highlight w:val="none"/>
          <w:lang w:eastAsia="zh-CN"/>
        </w:rPr>
        <w:t xml:space="preserve">第二部分  供应商须知</w:t>
      </w:r>
      <w:r>
        <w:rPr>
          <w:highlight w:val="none"/>
        </w:rPr>
      </w:r>
      <w:r/>
    </w:p>
    <w:p>
      <w:pPr>
        <w:pStyle w:val="1004"/>
        <w:jc w:val="center"/>
        <w:keepLines w:val="0"/>
        <w:keepNext w:val="0"/>
        <w:spacing w:before="0" w:after="0" w:line="360" w:lineRule="auto"/>
        <w:rPr>
          <w:rFonts w:hint="eastAsia" w:ascii="宋体" w:hAnsi="宋体"/>
          <w:bCs w:val="0"/>
          <w:color w:val="auto"/>
          <w:highlight w:val="none"/>
        </w:rPr>
      </w:pPr>
      <w:r>
        <w:rPr>
          <w:rFonts w:hint="eastAsia" w:ascii="宋体" w:hAnsi="宋体"/>
          <w:bCs w:val="0"/>
          <w:color w:val="auto"/>
          <w:highlight w:val="none"/>
          <w:lang w:eastAsia="zh-CN"/>
        </w:rPr>
        <w:t xml:space="preserve">前附表</w:t>
      </w:r>
      <w:r>
        <w:rPr>
          <w:highlight w:val="none"/>
        </w:rPr>
      </w:r>
      <w:r/>
    </w:p>
    <w:tbl>
      <w:tblPr>
        <w:tblStyle w:val="781"/>
        <w:tblW w:w="95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序号</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事项</w:t>
            </w:r>
            <w:r>
              <w:rPr>
                <w:highlight w:val="none"/>
              </w:rPr>
            </w:r>
            <w:r/>
          </w:p>
        </w:tc>
        <w:tc>
          <w:tcPr>
            <w:tcW w:w="6787"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本项目规定</w:t>
            </w:r>
            <w:r>
              <w:rPr>
                <w:highlight w:val="none"/>
              </w:rPr>
            </w:r>
            <w:r/>
          </w:p>
        </w:tc>
      </w:tr>
      <w:tr>
        <w:trPr>
          <w:trHeight w:val="2677"/>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1</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报价要求</w:t>
            </w:r>
            <w:r>
              <w:rPr>
                <w:highlight w:val="none"/>
              </w:rPr>
            </w:r>
            <w:r/>
          </w:p>
        </w:tc>
        <w:tc>
          <w:tcPr>
            <w:tcW w:w="6787" w:type="dxa"/>
            <w:vAlign w:val="center"/>
            <w:textDirection w:val="lrTb"/>
            <w:noWrap w:val="false"/>
          </w:tcPr>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本次磋商响应报价的币种为人民币。</w:t>
            </w:r>
            <w:r>
              <w:rPr>
                <w:highlight w:val="none"/>
              </w:rPr>
            </w:r>
            <w:r/>
          </w:p>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供应商应按采购文件所提供的各报价表格式报价。</w:t>
            </w:r>
            <w:r>
              <w:rPr>
                <w:highlight w:val="none"/>
              </w:rPr>
            </w:r>
            <w:r/>
          </w:p>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供应商应对本项目报出最具有竞争力的价格，应包括本次采购要求提供的货物（服务）已支付或将支付的所有费用（含税费）。</w:t>
            </w:r>
            <w:r>
              <w:rPr>
                <w:highlight w:val="none"/>
              </w:rPr>
            </w:r>
            <w:r/>
          </w:p>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最低投标报价不能作为成交的保证。</w:t>
            </w:r>
            <w:r>
              <w:rPr>
                <w:highlight w:val="none"/>
              </w:rPr>
            </w:r>
            <w:r/>
          </w:p>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成交价即为合同签约价。</w:t>
            </w:r>
            <w:r>
              <w:rPr>
                <w:highlight w:val="none"/>
              </w:rPr>
            </w:r>
            <w:r/>
          </w:p>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如出现报价前后不一致的，将按采购文件第五部分“评标办法和标准”第5项规定进行修正。</w:t>
            </w:r>
            <w:r>
              <w:rPr>
                <w:highlight w:val="none"/>
              </w:rPr>
            </w:r>
            <w:r/>
          </w:p>
        </w:tc>
      </w:tr>
      <w:tr>
        <w:trPr>
          <w:trHeight w:val="851"/>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2</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转包及分包</w:t>
            </w:r>
            <w:r>
              <w:rPr>
                <w:highlight w:val="none"/>
              </w:rPr>
            </w:r>
            <w:r/>
          </w:p>
        </w:tc>
        <w:tc>
          <w:tcPr>
            <w:tcW w:w="6787" w:type="dxa"/>
            <w:vAlign w:val="center"/>
            <w:textDirection w:val="lrTb"/>
            <w:noWrap w:val="false"/>
          </w:tcPr>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项目依法不得转包</w:t>
            </w:r>
            <w:r>
              <w:rPr>
                <w:highlight w:val="none"/>
              </w:rPr>
            </w:r>
            <w:r/>
          </w:p>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本项目不同意分包。</w:t>
            </w:r>
            <w:r>
              <w:rPr>
                <w:highlight w:val="none"/>
              </w:rPr>
            </w:r>
            <w:r/>
          </w:p>
        </w:tc>
      </w:tr>
      <w:tr>
        <w:trPr>
          <w:trHeight w:val="680"/>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3</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开标前答疑会</w:t>
            </w:r>
            <w:r>
              <w:rPr>
                <w:highlight w:val="none"/>
              </w:rPr>
            </w:r>
            <w:r/>
          </w:p>
        </w:tc>
        <w:tc>
          <w:tcPr>
            <w:tcW w:w="6787" w:type="dxa"/>
            <w:vAlign w:val="center"/>
            <w:textDirection w:val="lrTb"/>
            <w:noWrap w:val="false"/>
          </w:tcPr>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不组织</w:t>
            </w:r>
            <w:r>
              <w:rPr>
                <w:highlight w:val="none"/>
              </w:rPr>
            </w:r>
            <w:r/>
          </w:p>
        </w:tc>
      </w:tr>
      <w:tr>
        <w:trPr>
          <w:trHeight w:val="680"/>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4</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现场踏勘</w:t>
            </w:r>
            <w:r>
              <w:rPr>
                <w:highlight w:val="none"/>
              </w:rPr>
            </w:r>
            <w:r/>
          </w:p>
        </w:tc>
        <w:tc>
          <w:tcPr>
            <w:tcW w:w="6787" w:type="dxa"/>
            <w:vAlign w:val="center"/>
            <w:textDirection w:val="lrTb"/>
            <w:noWrap w:val="false"/>
          </w:tcPr>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不统一组织</w:t>
            </w:r>
            <w:r>
              <w:rPr>
                <w:highlight w:val="none"/>
              </w:rPr>
            </w:r>
            <w:r/>
          </w:p>
        </w:tc>
      </w:tr>
      <w:tr>
        <w:trPr>
          <w:trHeight w:val="680"/>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5</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演示</w:t>
            </w:r>
            <w:r>
              <w:rPr>
                <w:highlight w:val="none"/>
              </w:rPr>
            </w:r>
            <w:r/>
          </w:p>
        </w:tc>
        <w:tc>
          <w:tcPr>
            <w:tcW w:w="6787" w:type="dxa"/>
            <w:vAlign w:val="center"/>
            <w:textDirection w:val="lrTb"/>
            <w:noWrap w:val="false"/>
          </w:tcPr>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无</w:t>
            </w:r>
            <w:r>
              <w:rPr>
                <w:highlight w:val="none"/>
              </w:rPr>
            </w:r>
            <w:r/>
          </w:p>
        </w:tc>
      </w:tr>
      <w:tr>
        <w:trPr>
          <w:trHeight w:val="680"/>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6</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样品</w:t>
            </w:r>
            <w:r>
              <w:rPr>
                <w:highlight w:val="none"/>
              </w:rPr>
            </w:r>
            <w:r/>
          </w:p>
        </w:tc>
        <w:tc>
          <w:tcPr>
            <w:tcW w:w="6787" w:type="dxa"/>
            <w:vAlign w:val="center"/>
            <w:textDirection w:val="lrTb"/>
            <w:noWrap w:val="false"/>
          </w:tcPr>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不要求提供。</w:t>
            </w:r>
            <w:r>
              <w:rPr>
                <w:highlight w:val="none"/>
              </w:rPr>
            </w:r>
            <w:r/>
          </w:p>
        </w:tc>
      </w:tr>
      <w:tr>
        <w:trPr>
          <w:trHeight w:val="680"/>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7</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是否允许采购进口产品</w:t>
            </w:r>
            <w:r>
              <w:rPr>
                <w:highlight w:val="none"/>
              </w:rPr>
            </w:r>
            <w:r/>
          </w:p>
        </w:tc>
        <w:tc>
          <w:tcPr>
            <w:tcW w:w="6787" w:type="dxa"/>
            <w:vAlign w:val="center"/>
            <w:textDirection w:val="lrTb"/>
            <w:noWrap w:val="false"/>
          </w:tcPr>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本项目不适用。</w:t>
            </w:r>
            <w:r>
              <w:rPr>
                <w:highlight w:val="none"/>
              </w:rPr>
            </w:r>
            <w:r/>
          </w:p>
        </w:tc>
      </w:tr>
      <w:tr>
        <w:trPr>
          <w:trHeight w:val="851"/>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8</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项目属性与核心标的</w:t>
            </w:r>
            <w:r>
              <w:rPr>
                <w:highlight w:val="none"/>
              </w:rPr>
            </w:r>
            <w:r/>
          </w:p>
        </w:tc>
        <w:tc>
          <w:tcPr>
            <w:tcW w:w="6787" w:type="dxa"/>
            <w:vAlign w:val="center"/>
            <w:textDirection w:val="lrTb"/>
            <w:noWrap w:val="false"/>
          </w:tcPr>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本项目属性：工程类项目。</w:t>
            </w:r>
            <w:r>
              <w:rPr>
                <w:highlight w:val="none"/>
              </w:rPr>
            </w:r>
            <w:r/>
          </w:p>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本项目核心标的为：</w:t>
            </w:r>
            <w:r>
              <w:rPr>
                <w:rFonts w:hint="eastAsia" w:ascii="宋体" w:hAnsi="宋体" w:cs="楷体"/>
                <w:color w:val="auto"/>
                <w:sz w:val="24"/>
                <w:szCs w:val="24"/>
                <w:highlight w:val="none"/>
                <w:lang w:eastAsia="zh-CN"/>
              </w:rPr>
              <w:t xml:space="preserve">句容市下蜀镇江家村312国道两侧倾倒建筑渣土区域生态环境综合整治项目</w:t>
            </w:r>
            <w:r>
              <w:rPr>
                <w:rFonts w:hint="eastAsia" w:ascii="宋体" w:hAnsi="宋体" w:cs="楷体"/>
                <w:color w:val="auto"/>
                <w:sz w:val="24"/>
                <w:szCs w:val="24"/>
                <w:highlight w:val="none"/>
              </w:rPr>
              <w:t xml:space="preserve">。</w:t>
            </w:r>
            <w:r>
              <w:rPr>
                <w:highlight w:val="none"/>
              </w:rPr>
            </w:r>
            <w:r/>
          </w:p>
        </w:tc>
      </w:tr>
      <w:tr>
        <w:trPr>
          <w:trHeight w:val="5802"/>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9</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采购标的对应的中小企业划分标准所属行业</w:t>
            </w:r>
            <w:r>
              <w:rPr>
                <w:highlight w:val="none"/>
              </w:rPr>
            </w:r>
            <w:r/>
          </w:p>
        </w:tc>
        <w:tc>
          <w:tcPr>
            <w:tcW w:w="6787" w:type="dxa"/>
            <w:vAlign w:val="center"/>
            <w:textDirection w:val="lrTb"/>
            <w:noWrap w:val="false"/>
          </w:tcPr>
          <w:p>
            <w:pPr>
              <w:spacing w:line="276" w:lineRule="auto"/>
              <w:rPr>
                <w:rFonts w:hint="eastAsia" w:ascii="宋体" w:hAnsi="宋体" w:cs="楷体"/>
                <w:b/>
                <w:color w:val="auto"/>
                <w:sz w:val="24"/>
                <w:szCs w:val="24"/>
                <w:highlight w:val="none"/>
              </w:rPr>
            </w:pPr>
            <w:r>
              <w:rPr>
                <w:rFonts w:hint="eastAsia" w:ascii="宋体" w:hAnsi="宋体" w:cs="楷体"/>
                <w:color w:val="auto"/>
                <w:sz w:val="24"/>
                <w:szCs w:val="24"/>
                <w:highlight w:val="none"/>
              </w:rPr>
              <w:t xml:space="preserve">标的：</w:t>
            </w:r>
            <w:r>
              <w:rPr>
                <w:rFonts w:hint="eastAsia" w:ascii="宋体" w:hAnsi="宋体" w:cs="楷体"/>
                <w:b/>
                <w:color w:val="auto"/>
                <w:sz w:val="24"/>
                <w:szCs w:val="24"/>
                <w:highlight w:val="none"/>
                <w:u w:val="single"/>
                <w:lang w:eastAsia="zh-CN"/>
              </w:rPr>
              <w:t xml:space="preserve">句容市下蜀镇江家村312国道两侧倾倒建筑渣土区域生态环境综合整治项目</w:t>
            </w:r>
            <w:r>
              <w:rPr>
                <w:rFonts w:hint="eastAsia" w:ascii="宋体" w:hAnsi="宋体" w:cs="楷体"/>
                <w:b/>
                <w:color w:val="auto"/>
                <w:sz w:val="24"/>
                <w:szCs w:val="24"/>
                <w:highlight w:val="none"/>
              </w:rPr>
              <w:t xml:space="preserve">，属于</w:t>
            </w:r>
            <w:r>
              <w:rPr>
                <w:rFonts w:hint="eastAsia" w:ascii="宋体" w:hAnsi="宋体" w:cs="楷体"/>
                <w:b/>
                <w:color w:val="auto"/>
                <w:sz w:val="24"/>
                <w:szCs w:val="24"/>
                <w:highlight w:val="none"/>
                <w:u w:val="single"/>
              </w:rPr>
              <w:t xml:space="preserve">建筑业</w:t>
            </w:r>
            <w:r>
              <w:rPr>
                <w:rFonts w:hint="eastAsia" w:ascii="宋体" w:hAnsi="宋体" w:cs="楷体"/>
                <w:b/>
                <w:color w:val="auto"/>
                <w:sz w:val="24"/>
                <w:szCs w:val="24"/>
                <w:highlight w:val="none"/>
              </w:rPr>
              <w:t xml:space="preserve">行业；</w:t>
            </w:r>
            <w:r>
              <w:rPr>
                <w:highlight w:val="none"/>
              </w:rPr>
            </w:r>
            <w:r/>
          </w:p>
          <w:p>
            <w:pPr>
              <w:spacing w:line="276" w:lineRule="auto"/>
              <w:rPr>
                <w:rFonts w:hint="eastAsia" w:ascii="宋体" w:hAnsi="宋体" w:cs="楷体"/>
                <w:b/>
                <w:color w:val="auto"/>
                <w:sz w:val="24"/>
                <w:szCs w:val="24"/>
                <w:highlight w:val="none"/>
              </w:rPr>
            </w:pPr>
            <w:r>
              <w:rPr>
                <w:rFonts w:hint="eastAsia" w:ascii="宋体" w:hAnsi="宋体" w:cs="楷体"/>
                <w:b/>
                <w:color w:val="auto"/>
                <w:sz w:val="24"/>
                <w:szCs w:val="24"/>
                <w:highlight w:val="none"/>
              </w:rPr>
              <w:t xml:space="preserve">本项目属于专门面向中小微企业(注：监狱企业、残疾人福利性单位视同小微企业。</w:t>
            </w:r>
            <w:r>
              <w:rPr>
                <w:rFonts w:ascii="宋体" w:hAnsi="宋体" w:cs="楷体"/>
                <w:b/>
                <w:color w:val="auto"/>
                <w:sz w:val="24"/>
                <w:szCs w:val="24"/>
                <w:highlight w:val="none"/>
              </w:rPr>
              <w:t xml:space="preserve">)</w:t>
            </w:r>
            <w:r>
              <w:rPr>
                <w:highlight w:val="none"/>
              </w:rPr>
            </w:r>
            <w:r/>
          </w:p>
          <w:p>
            <w:pPr>
              <w:spacing w:line="276" w:lineRule="auto"/>
              <w:rPr>
                <w:rFonts w:hint="eastAsia" w:ascii="宋体" w:hAnsi="宋体" w:cs="楷体"/>
                <w:color w:val="auto"/>
                <w:sz w:val="24"/>
                <w:szCs w:val="24"/>
                <w:highlight w:val="none"/>
              </w:rPr>
            </w:pPr>
            <w:r>
              <w:rPr>
                <w:rFonts w:ascii="宋体" w:hAnsi="宋体" w:cs="楷体"/>
                <w:color w:val="auto"/>
                <w:sz w:val="24"/>
                <w:szCs w:val="24"/>
                <w:highlight w:val="none"/>
              </w:rPr>
              <w:t xml:space="preserve">1、</w:t>
            </w:r>
            <w:r>
              <w:rPr>
                <w:rFonts w:hint="eastAsia" w:ascii="宋体" w:hAnsi="宋体" w:cs="楷体"/>
                <w:color w:val="auto"/>
                <w:sz w:val="24"/>
                <w:szCs w:val="24"/>
                <w:highlight w:val="none"/>
              </w:rPr>
              <w:t xml:space="preserve">工程施工全部由符合政策要求的中小企业承接，提供中小企业声明函；标准请对照《关于印发中小企业划型标准规定的通知》（工信部联企业[2011]300号）。</w:t>
            </w:r>
            <w:r>
              <w:rPr>
                <w:highlight w:val="none"/>
              </w:rPr>
            </w:r>
            <w:r/>
          </w:p>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r>
              <w:rPr>
                <w:highlight w:val="none"/>
              </w:rPr>
            </w:r>
            <w:r/>
          </w:p>
          <w:p>
            <w:pPr>
              <w:spacing w:line="360"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3、根据《关于促进残疾人就业政府采购政策的通知》（财库〔2017〕141号）的规定，残疾人福利性单位视同小型、微型企业。符合条件的残疾人福利性单位应当提供《残疾人福利性单位声明函》，并对声明的真实性负责。</w:t>
            </w:r>
            <w:r>
              <w:rPr>
                <w:highlight w:val="none"/>
              </w:rPr>
            </w:r>
            <w:r/>
          </w:p>
        </w:tc>
      </w:tr>
      <w:tr>
        <w:trPr>
          <w:trHeight w:val="930"/>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10</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节能产品、环境标志产品</w:t>
            </w:r>
            <w:r>
              <w:rPr>
                <w:highlight w:val="none"/>
              </w:rPr>
            </w:r>
            <w:r/>
          </w:p>
        </w:tc>
        <w:tc>
          <w:tcPr>
            <w:tcW w:w="6787" w:type="dxa"/>
            <w:vAlign w:val="center"/>
            <w:textDirection w:val="lrTb"/>
            <w:noWrap w:val="false"/>
          </w:tcPr>
          <w:p>
            <w:pP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本项目不适用。</w:t>
            </w:r>
            <w:r>
              <w:rPr>
                <w:highlight w:val="none"/>
              </w:rPr>
            </w:r>
            <w:r/>
          </w:p>
        </w:tc>
      </w:tr>
      <w:tr>
        <w:trPr>
          <w:trHeight w:val="3339"/>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11</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中小企业信用融资</w:t>
            </w:r>
            <w:r>
              <w:rPr>
                <w:highlight w:val="none"/>
              </w:rPr>
            </w:r>
            <w:r/>
          </w:p>
        </w:tc>
        <w:tc>
          <w:tcPr>
            <w:tcW w:w="6787" w:type="dxa"/>
            <w:vAlign w:val="center"/>
            <w:textDirection w:val="lrTb"/>
            <w:noWrap w:val="false"/>
          </w:tcPr>
          <w:p>
            <w:pPr>
              <w:spacing w:line="276" w:lineRule="auto"/>
              <w:rPr>
                <w:rFonts w:hint="eastAsia" w:ascii="宋体" w:hAnsi="宋体" w:cs="楷体"/>
                <w:color w:val="auto"/>
                <w:sz w:val="24"/>
                <w:szCs w:val="24"/>
                <w:highlight w:val="none"/>
              </w:rPr>
            </w:pPr>
            <w:r>
              <w:rPr>
                <w:rFonts w:hint="eastAsia" w:ascii="宋体" w:hAnsi="宋体" w:cs="楷体"/>
                <w:color w:val="auto"/>
                <w:sz w:val="21"/>
                <w:szCs w:val="21"/>
                <w:highlight w:val="none"/>
              </w:rPr>
              <w:t xml:space="preserve">为进一步发挥政府采购政策导向作用，有效缓解企业融资难题，推进完善应收账款融资服务平台的融资服务功能，促进中小微企业平稳健康发展，</w:t>
            </w:r>
            <w:bookmarkStart w:id="53" w:name="_Hlk136445673"/>
            <w:r>
              <w:rPr>
                <w:rFonts w:hint="eastAsia" w:ascii="宋体" w:hAnsi="宋体" w:cs="楷体"/>
                <w:color w:val="auto"/>
                <w:sz w:val="21"/>
                <w:szCs w:val="21"/>
                <w:highlight w:val="none"/>
              </w:rPr>
              <w:t xml:space="preserve">镇江市财政局和中国人民银行镇江市中心支行联合印发《关于转发〈关于深入推进政府采购线上合同信用融资工作的通知〉的通知》</w:t>
            </w:r>
            <w:bookmarkEnd w:id="53"/>
            <w:r>
              <w:rPr>
                <w:rFonts w:hint="eastAsia" w:ascii="宋体" w:hAnsi="宋体" w:cs="楷体"/>
                <w:color w:val="auto"/>
                <w:sz w:val="21"/>
                <w:szCs w:val="21"/>
                <w:highlight w:val="none"/>
              </w:rPr>
              <w:t xml:space="preserve">，</w:t>
            </w:r>
            <w:bookmarkStart w:id="54" w:name="_Hlk136444446"/>
            <w:r>
              <w:rPr>
                <w:rFonts w:hint="eastAsia" w:ascii="宋体" w:hAnsi="宋体" w:cs="楷体"/>
                <w:color w:val="auto"/>
                <w:sz w:val="21"/>
                <w:szCs w:val="21"/>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54"/>
            <w:r>
              <w:rPr>
                <w:rFonts w:hint="eastAsia" w:ascii="宋体" w:hAnsi="宋体" w:cs="楷体"/>
                <w:color w:val="auto"/>
                <w:sz w:val="21"/>
                <w:szCs w:val="21"/>
                <w:highlight w:val="none"/>
              </w:rPr>
              <w:t xml:space="preserve">办理流程详见江苏政府采购网“政采贷”栏目，网址：</w:t>
            </w:r>
            <w:r>
              <w:rPr>
                <w:rFonts w:ascii="宋体" w:hAnsi="宋体" w:cs="楷体"/>
                <w:color w:val="auto"/>
                <w:sz w:val="21"/>
                <w:szCs w:val="21"/>
                <w:highlight w:val="none"/>
              </w:rPr>
              <w:t xml:space="preserve">http://www.ccgp-jiangsu.gov.cn/jiangsu/paying.html</w:t>
            </w:r>
            <w:r>
              <w:rPr>
                <w:rFonts w:hint="eastAsia" w:ascii="宋体" w:hAnsi="宋体" w:cs="楷体"/>
                <w:color w:val="auto"/>
                <w:sz w:val="21"/>
                <w:szCs w:val="21"/>
                <w:highlight w:val="none"/>
              </w:rPr>
              <w:t xml:space="preserve">咨询电话：镇江市财政局政府采购处0</w:t>
            </w:r>
            <w:r>
              <w:rPr>
                <w:rFonts w:ascii="宋体" w:hAnsi="宋体" w:cs="楷体"/>
                <w:color w:val="auto"/>
                <w:sz w:val="21"/>
                <w:szCs w:val="21"/>
                <w:highlight w:val="none"/>
              </w:rPr>
              <w:t xml:space="preserve">511-80909958</w:t>
            </w:r>
            <w:r>
              <w:rPr>
                <w:rFonts w:hint="eastAsia" w:ascii="宋体" w:hAnsi="宋体" w:cs="楷体"/>
                <w:color w:val="auto"/>
                <w:sz w:val="21"/>
                <w:szCs w:val="21"/>
                <w:highlight w:val="none"/>
              </w:rPr>
              <w:t xml:space="preserve">。</w:t>
            </w:r>
            <w:r>
              <w:rPr>
                <w:highlight w:val="none"/>
              </w:rPr>
            </w:r>
            <w:r/>
          </w:p>
        </w:tc>
      </w:tr>
      <w:tr>
        <w:trPr>
          <w:trHeight w:val="698"/>
        </w:trPr>
        <w:tc>
          <w:tcPr>
            <w:tcW w:w="812"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12</w:t>
            </w:r>
            <w:r>
              <w:rPr>
                <w:highlight w:val="none"/>
              </w:rPr>
            </w:r>
            <w:r/>
          </w:p>
        </w:tc>
        <w:tc>
          <w:tcPr>
            <w:tcW w:w="1984" w:type="dxa"/>
            <w:vAlign w:val="center"/>
            <w:textDirection w:val="lrTb"/>
            <w:noWrap w:val="false"/>
          </w:tcPr>
          <w:p>
            <w:pPr>
              <w:jc w:val="center"/>
              <w:spacing w:line="276" w:lineRule="auto"/>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特别说明</w:t>
            </w:r>
            <w:r>
              <w:rPr>
                <w:highlight w:val="none"/>
              </w:rPr>
            </w:r>
            <w:r/>
          </w:p>
        </w:tc>
        <w:tc>
          <w:tcPr>
            <w:tcW w:w="6787" w:type="dxa"/>
            <w:vAlign w:val="center"/>
            <w:textDirection w:val="lrTb"/>
            <w:noWrap w:val="false"/>
          </w:tcPr>
          <w:p>
            <w:pPr>
              <w:numPr>
                <w:ilvl w:val="0"/>
                <w:numId w:val="4"/>
              </w:numPr>
              <w:ind w:firstLine="480"/>
              <w:spacing w:line="300" w:lineRule="exact"/>
              <w:rPr>
                <w:rFonts w:hint="eastAsia" w:ascii="宋体" w:hAnsi="宋体" w:cs="楷体"/>
                <w:b/>
                <w:bCs/>
                <w:color w:val="auto"/>
                <w:sz w:val="21"/>
                <w:szCs w:val="21"/>
                <w:highlight w:val="none"/>
              </w:rPr>
            </w:pPr>
            <w:r>
              <w:rPr>
                <w:rFonts w:hint="eastAsia" w:ascii="宋体" w:hAnsi="宋体" w:cs="楷体"/>
                <w:b/>
                <w:bCs/>
                <w:color w:val="auto"/>
                <w:sz w:val="21"/>
                <w:szCs w:val="21"/>
                <w:highlight w:val="none"/>
                <w:lang w:val="en-US" w:eastAsia="zh-CN"/>
              </w:rPr>
              <w:t xml:space="preserve">工程结束支付合同总价的40%，验收合格销号后累计支付至合同总价的70%，工程审计结束后累计支付至审定价的90%，验收合格销号后满2年一次性付清。</w:t>
            </w:r>
            <w:r>
              <w:rPr>
                <w:highlight w:val="none"/>
              </w:rPr>
            </w:r>
            <w:r/>
          </w:p>
          <w:p>
            <w:pPr>
              <w:numPr>
                <w:ilvl w:val="0"/>
                <w:numId w:val="4"/>
              </w:numPr>
              <w:ind w:left="0" w:firstLine="480"/>
              <w:jc w:val="left"/>
              <w:spacing w:line="300" w:lineRule="exact"/>
              <w:rPr>
                <w:rFonts w:hint="eastAsia" w:ascii="宋体" w:hAnsi="宋体" w:cs="楷体"/>
                <w:b/>
                <w:bCs/>
                <w:color w:val="auto"/>
                <w:sz w:val="21"/>
                <w:szCs w:val="21"/>
                <w:highlight w:val="none"/>
              </w:rPr>
            </w:pPr>
            <w:r>
              <w:rPr>
                <w:rFonts w:hint="eastAsia" w:ascii="宋体" w:hAnsi="宋体" w:cs="楷体"/>
                <w:b/>
                <w:bCs/>
                <w:color w:val="auto"/>
                <w:sz w:val="21"/>
                <w:szCs w:val="21"/>
                <w:highlight w:val="none"/>
                <w:lang w:val="en-US" w:eastAsia="zh-CN"/>
              </w:rPr>
              <w:t xml:space="preserve">合同工期为30日历天，如因施工单位原因导致工期延误，建设单位有权按2000元/日处罚施工单位，此处罚不能解除施工单位应完成本工程的各种责任和合同规定的其他责任 ；如施工单位不能保证工期、工程质量，经建设单位要求，仍不能达到要求的，建设单位有权解除合同，施工单位承担违约责任及其他各种不利后果。</w:t>
            </w:r>
            <w:r>
              <w:rPr>
                <w:highlight w:val="none"/>
              </w:rPr>
            </w:r>
            <w:r/>
          </w:p>
          <w:p>
            <w:pPr>
              <w:numPr>
                <w:ilvl w:val="0"/>
                <w:numId w:val="4"/>
              </w:numPr>
              <w:ind w:left="0" w:firstLine="480"/>
              <w:jc w:val="left"/>
              <w:spacing w:line="300" w:lineRule="exact"/>
              <w:rPr>
                <w:rFonts w:hint="eastAsia" w:ascii="宋体" w:hAnsi="宋体" w:cs="楷体"/>
                <w:b/>
                <w:bCs/>
                <w:color w:val="auto"/>
                <w:sz w:val="24"/>
                <w:szCs w:val="24"/>
                <w:highlight w:val="none"/>
              </w:rPr>
            </w:pPr>
            <w:r>
              <w:rPr>
                <w:rFonts w:hint="eastAsia" w:ascii="宋体" w:hAnsi="宋体" w:cs="楷体"/>
                <w:b/>
                <w:bCs/>
                <w:color w:val="auto"/>
                <w:sz w:val="21"/>
                <w:szCs w:val="21"/>
                <w:highlight w:val="none"/>
                <w:lang w:val="en-US" w:eastAsia="zh-CN"/>
              </w:rPr>
              <w:t xml:space="preserve">投标人务必自行踏勘施工现场，了解施工现场周边环境、交通运输等各种情况，把各种矛盾、困难、风险考虑进投标报价中，中标后不能以类似理由增加工程造价、延误工期、降低质量标准。</w:t>
            </w:r>
            <w:r>
              <w:rPr>
                <w:highlight w:val="none"/>
              </w:rPr>
            </w:r>
            <w:r/>
          </w:p>
        </w:tc>
      </w:tr>
    </w:tbl>
    <w:p>
      <w:pPr>
        <w:rPr>
          <w:color w:val="auto"/>
          <w:highlight w:val="none"/>
        </w:rPr>
      </w:pPr>
      <w:r>
        <w:rPr>
          <w:color w:val="auto"/>
          <w:highlight w:val="none"/>
        </w:rPr>
      </w:r>
      <w:r>
        <w:rPr>
          <w:highlight w:val="none"/>
        </w:rPr>
      </w:r>
      <w:r/>
    </w:p>
    <w:p>
      <w:pPr>
        <w:pStyle w:val="1002"/>
        <w:rPr>
          <w:rFonts w:hint="eastAsia" w:ascii="宋体" w:hAnsi="宋体" w:eastAsia="宋体"/>
          <w:color w:val="auto"/>
          <w:sz w:val="32"/>
          <w:highlight w:val="none"/>
        </w:rPr>
      </w:pPr>
      <w:r>
        <w:rPr>
          <w:highlight w:val="none"/>
        </w:rPr>
      </w:r>
      <w:bookmarkStart w:id="55" w:name="_Toc73364854"/>
      <w:r>
        <w:rPr>
          <w:highlight w:val="none"/>
        </w:rPr>
      </w:r>
      <w:bookmarkStart w:id="56" w:name="_Toc73365467"/>
      <w:r>
        <w:rPr>
          <w:highlight w:val="none"/>
        </w:rPr>
      </w:r>
      <w:bookmarkStart w:id="57" w:name="_Toc256000011"/>
      <w:r>
        <w:rPr>
          <w:rFonts w:hint="eastAsia" w:ascii="宋体" w:hAnsi="宋体" w:eastAsia="宋体"/>
          <w:color w:val="auto"/>
          <w:sz w:val="32"/>
          <w:highlight w:val="none"/>
        </w:rPr>
        <w:t xml:space="preserve">一、总  则</w:t>
      </w:r>
      <w:bookmarkEnd w:id="55"/>
      <w:r>
        <w:rPr>
          <w:highlight w:val="none"/>
        </w:rPr>
      </w:r>
      <w:bookmarkEnd w:id="56"/>
      <w:r>
        <w:rPr>
          <w:highlight w:val="none"/>
        </w:rPr>
      </w:r>
      <w:bookmarkEnd w:id="57"/>
      <w:r>
        <w:rPr>
          <w:highlight w:val="none"/>
        </w:rPr>
      </w:r>
      <w:r/>
    </w:p>
    <w:p>
      <w:pPr>
        <w:pStyle w:val="1004"/>
        <w:ind w:firstLine="446"/>
        <w:keepLines w:val="0"/>
        <w:keepNext w:val="0"/>
        <w:spacing w:before="0" w:after="0" w:line="360" w:lineRule="auto"/>
        <w:rPr>
          <w:rFonts w:hint="eastAsia" w:ascii="宋体" w:hAnsi="宋体"/>
          <w:color w:val="auto"/>
          <w:sz w:val="30"/>
          <w:highlight w:val="none"/>
        </w:rPr>
      </w:pPr>
      <w:r>
        <w:rPr>
          <w:highlight w:val="none"/>
        </w:rPr>
      </w:r>
      <w:bookmarkStart w:id="58" w:name="_Toc73365468"/>
      <w:r>
        <w:rPr>
          <w:highlight w:val="none"/>
        </w:rPr>
      </w:r>
      <w:bookmarkStart w:id="59" w:name="_Toc256000012"/>
      <w:r>
        <w:rPr>
          <w:highlight w:val="none"/>
        </w:rPr>
      </w:r>
      <w:bookmarkStart w:id="60" w:name="_Toc73364855"/>
      <w:r>
        <w:rPr>
          <w:rFonts w:hint="eastAsia" w:ascii="宋体" w:hAnsi="宋体"/>
          <w:color w:val="auto"/>
          <w:sz w:val="30"/>
          <w:highlight w:val="none"/>
        </w:rPr>
        <w:t xml:space="preserve">1．适用范围</w:t>
      </w:r>
      <w:bookmarkEnd w:id="58"/>
      <w:r>
        <w:rPr>
          <w:highlight w:val="none"/>
        </w:rPr>
      </w:r>
      <w:bookmarkEnd w:id="59"/>
      <w:r>
        <w:rPr>
          <w:highlight w:val="none"/>
        </w:rPr>
      </w:r>
      <w:bookmarkEnd w:id="60"/>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b/>
          <w:bCs/>
          <w:color w:val="auto"/>
          <w:sz w:val="24"/>
          <w:szCs w:val="28"/>
          <w:highlight w:val="none"/>
          <w:lang w:eastAsia="zh-CN"/>
        </w:rPr>
        <w:t xml:space="preserve">句容市下蜀镇江家村312国道两侧倾倒建筑渣土区域生态环境综合整治项目</w:t>
      </w:r>
      <w:r>
        <w:rPr>
          <w:rFonts w:hint="eastAsia" w:ascii="宋体" w:hAnsi="宋体"/>
          <w:color w:val="auto"/>
          <w:sz w:val="24"/>
          <w:szCs w:val="28"/>
          <w:highlight w:val="none"/>
          <w:lang w:eastAsia="zh-CN"/>
        </w:rPr>
        <w:t xml:space="preserve"> </w:t>
      </w:r>
      <w:r>
        <w:rPr>
          <w:rFonts w:hint="eastAsia" w:ascii="宋体" w:hAnsi="宋体" w:cs="隶书"/>
          <w:color w:val="auto"/>
          <w:sz w:val="24"/>
          <w:highlight w:val="none"/>
        </w:rPr>
        <w:t xml:space="preserve">。</w:t>
      </w:r>
      <w:r>
        <w:rPr>
          <w:highlight w:val="none"/>
        </w:rPr>
      </w:r>
      <w:r/>
    </w:p>
    <w:p>
      <w:pPr>
        <w:pStyle w:val="1004"/>
        <w:ind w:firstLine="446"/>
        <w:keepLines w:val="0"/>
        <w:keepNext w:val="0"/>
        <w:spacing w:before="200" w:after="200" w:line="360" w:lineRule="auto"/>
        <w:rPr>
          <w:rFonts w:hint="eastAsia" w:ascii="宋体" w:hAnsi="宋体"/>
          <w:color w:val="auto"/>
          <w:sz w:val="30"/>
          <w:highlight w:val="none"/>
        </w:rPr>
      </w:pPr>
      <w:r>
        <w:rPr>
          <w:highlight w:val="none"/>
        </w:rPr>
      </w:r>
      <w:bookmarkStart w:id="61" w:name="_Toc73364856"/>
      <w:r>
        <w:rPr>
          <w:highlight w:val="none"/>
        </w:rPr>
      </w:r>
      <w:bookmarkStart w:id="62" w:name="_Toc256000013"/>
      <w:r>
        <w:rPr>
          <w:highlight w:val="none"/>
        </w:rPr>
      </w:r>
      <w:bookmarkStart w:id="63" w:name="_Toc73365469"/>
      <w:r>
        <w:rPr>
          <w:rFonts w:hint="eastAsia" w:ascii="宋体" w:hAnsi="宋体"/>
          <w:color w:val="auto"/>
          <w:sz w:val="30"/>
          <w:highlight w:val="none"/>
          <w:lang w:eastAsia="zh-CN"/>
        </w:rPr>
        <w:t xml:space="preserve">2．定义</w:t>
      </w:r>
      <w:bookmarkEnd w:id="61"/>
      <w:r>
        <w:rPr>
          <w:highlight w:val="none"/>
        </w:rPr>
      </w:r>
      <w:bookmarkEnd w:id="62"/>
      <w:r>
        <w:rPr>
          <w:highlight w:val="none"/>
        </w:rPr>
      </w:r>
      <w:bookmarkEnd w:id="63"/>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磋商文件中下列术语应解释为：</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b/>
          <w:bCs/>
          <w:color w:val="auto"/>
          <w:sz w:val="24"/>
          <w:highlight w:val="none"/>
        </w:rPr>
        <w:t xml:space="preserve">大洲设计咨询集团有限公司</w:t>
      </w:r>
      <w:r>
        <w:rPr>
          <w:rFonts w:hint="eastAsia" w:ascii="宋体" w:hAnsi="宋体"/>
          <w:color w:val="auto"/>
          <w:sz w:val="24"/>
          <w:highlight w:val="none"/>
        </w:rPr>
        <w:t xml:space="preserve">。</w:t>
      </w:r>
      <w:r>
        <w:rPr>
          <w:highlight w:val="none"/>
        </w:rPr>
      </w:r>
      <w:r/>
    </w:p>
    <w:p>
      <w:pPr>
        <w:ind w:firstLine="480"/>
        <w:spacing w:line="360" w:lineRule="auto"/>
        <w:rPr>
          <w:rFonts w:hint="eastAsia"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b/>
          <w:bCs/>
          <w:color w:val="auto"/>
          <w:sz w:val="24"/>
          <w:highlight w:val="none"/>
          <w:lang w:eastAsia="zh-CN"/>
        </w:rPr>
        <w:t xml:space="preserve">句容市下蜀镇人民政府</w:t>
      </w:r>
      <w:r>
        <w:rPr>
          <w:rFonts w:hint="eastAsia" w:ascii="宋体" w:hAnsi="宋体"/>
          <w:color w:val="auto"/>
          <w:sz w:val="24"/>
          <w:highlight w:val="none"/>
        </w:rPr>
        <w:t xml:space="preserve">。</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2.4“工程”系指本磋商文件所述采购标的，即</w:t>
      </w:r>
      <w:bookmarkStart w:id="64" w:name="EBec1f6c4cc37b4caa9954b6d54854e118"/>
      <w:r>
        <w:rPr>
          <w:rFonts w:hint="eastAsia" w:ascii="宋体" w:hAnsi="宋体"/>
          <w:b/>
          <w:bCs/>
          <w:color w:val="auto"/>
          <w:sz w:val="24"/>
          <w:szCs w:val="28"/>
          <w:highlight w:val="none"/>
          <w:lang w:eastAsia="zh-CN"/>
        </w:rPr>
        <w:t xml:space="preserve">句容市下蜀镇江家村312国道两侧倾倒建筑渣土区域生态环境综合整治项目</w:t>
      </w:r>
      <w:r>
        <w:rPr>
          <w:rFonts w:hint="eastAsia" w:ascii="宋体" w:hAnsi="宋体"/>
          <w:color w:val="auto"/>
          <w:sz w:val="24"/>
          <w:szCs w:val="28"/>
          <w:highlight w:val="none"/>
          <w:lang w:eastAsia="zh-CN"/>
        </w:rPr>
        <w:t xml:space="preserve"> </w:t>
      </w:r>
      <w:r>
        <w:rPr>
          <w:rFonts w:hint="eastAsia" w:ascii="宋体" w:hAnsi="宋体"/>
          <w:color w:val="auto"/>
          <w:sz w:val="24"/>
          <w:highlight w:val="none"/>
        </w:rPr>
        <w:t xml:space="preserve">。</w:t>
      </w:r>
      <w:bookmarkEnd w:id="64"/>
      <w:r>
        <w:rPr>
          <w:highlight w:val="none"/>
        </w:rPr>
      </w:r>
      <w:r/>
    </w:p>
    <w:p>
      <w:pPr>
        <w:pStyle w:val="1004"/>
        <w:ind w:firstLine="446"/>
        <w:keepLines w:val="0"/>
        <w:keepNext w:val="0"/>
        <w:spacing w:line="360" w:lineRule="auto"/>
        <w:rPr>
          <w:rFonts w:hint="eastAsia" w:ascii="宋体" w:hAnsi="宋体"/>
          <w:color w:val="auto"/>
          <w:sz w:val="30"/>
          <w:highlight w:val="none"/>
        </w:rPr>
      </w:pPr>
      <w:r>
        <w:rPr>
          <w:highlight w:val="none"/>
        </w:rPr>
      </w:r>
      <w:bookmarkStart w:id="65" w:name="_Toc73364857"/>
      <w:r>
        <w:rPr>
          <w:highlight w:val="none"/>
        </w:rPr>
      </w:r>
      <w:bookmarkStart w:id="66" w:name="_Toc256000014"/>
      <w:r>
        <w:rPr>
          <w:highlight w:val="none"/>
        </w:rPr>
      </w:r>
      <w:bookmarkStart w:id="67" w:name="_Toc73365470"/>
      <w:r>
        <w:rPr>
          <w:rFonts w:hint="eastAsia" w:ascii="宋体" w:hAnsi="宋体"/>
          <w:color w:val="auto"/>
          <w:sz w:val="30"/>
          <w:highlight w:val="none"/>
          <w:lang w:eastAsia="zh-CN"/>
        </w:rPr>
        <w:t xml:space="preserve">3．本次采购方式</w:t>
      </w:r>
      <w:bookmarkEnd w:id="65"/>
      <w:r>
        <w:rPr>
          <w:highlight w:val="none"/>
        </w:rPr>
      </w:r>
      <w:bookmarkEnd w:id="66"/>
      <w:r>
        <w:rPr>
          <w:highlight w:val="none"/>
        </w:rPr>
      </w:r>
      <w:bookmarkEnd w:id="67"/>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3.1本次采购采取竞争性磋商采购方式：综合评分法。</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3.2是否接受进口产品：否</w:t>
      </w:r>
      <w:bookmarkStart w:id="68" w:name="EBb827a1ee09c24503810ef107662edd9b"/>
      <w:r>
        <w:rPr>
          <w:rFonts w:ascii="宋体" w:hAnsi="宋体"/>
          <w:color w:val="auto"/>
          <w:sz w:val="24"/>
          <w:highlight w:val="none"/>
        </w:rPr>
        <w:t xml:space="preserve"> </w:t>
      </w:r>
      <w:bookmarkEnd w:id="68"/>
      <w:r>
        <w:rPr>
          <w:highlight w:val="none"/>
        </w:rPr>
      </w:r>
      <w:bookmarkStart w:id="69" w:name="EB864908c2907a43c2b4173db210221033"/>
      <w:r>
        <w:rPr>
          <w:rFonts w:ascii="宋体" w:hAnsi="宋体"/>
          <w:color w:val="auto"/>
          <w:sz w:val="24"/>
          <w:highlight w:val="none"/>
        </w:rPr>
        <w:t xml:space="preserve"> </w:t>
      </w:r>
      <w:bookmarkEnd w:id="69"/>
      <w:r>
        <w:rPr>
          <w:highlight w:val="none"/>
        </w:rPr>
      </w:r>
      <w:bookmarkStart w:id="70" w:name="EB326aa1936df44aef9d1be4dfa91c7594"/>
      <w:r>
        <w:rPr>
          <w:rFonts w:ascii="宋体" w:hAnsi="宋体"/>
          <w:color w:val="auto"/>
          <w:sz w:val="24"/>
          <w:highlight w:val="none"/>
        </w:rPr>
        <w:t xml:space="preserve"> </w:t>
      </w:r>
      <w:bookmarkEnd w:id="70"/>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3.3本项目资格审查方式：资格后审</w:t>
      </w:r>
      <w:bookmarkStart w:id="71" w:name="EB554d20e884b34f068f9abf5c2900c4d1"/>
      <w:r>
        <w:rPr>
          <w:rFonts w:ascii="宋体" w:hAnsi="宋体"/>
          <w:color w:val="auto"/>
          <w:sz w:val="24"/>
          <w:highlight w:val="none"/>
        </w:rPr>
        <w:t xml:space="preserve"> </w:t>
      </w:r>
      <w:bookmarkEnd w:id="71"/>
      <w:r>
        <w:rPr>
          <w:highlight w:val="none"/>
        </w:rPr>
      </w:r>
      <w:bookmarkStart w:id="72" w:name="EB95604dcf296947de98be329cdd95192a"/>
      <w:r>
        <w:rPr>
          <w:rFonts w:ascii="宋体" w:hAnsi="宋体"/>
          <w:color w:val="auto"/>
          <w:sz w:val="24"/>
          <w:highlight w:val="none"/>
        </w:rPr>
        <w:t xml:space="preserve"> </w:t>
      </w:r>
      <w:bookmarkEnd w:id="72"/>
      <w:r>
        <w:rPr>
          <w:highlight w:val="none"/>
        </w:rPr>
      </w:r>
      <w:bookmarkStart w:id="73" w:name="EBeaa6884fb96b4a01bb14112961cfa20a"/>
      <w:r>
        <w:rPr>
          <w:rFonts w:ascii="宋体" w:hAnsi="宋体"/>
          <w:color w:val="auto"/>
          <w:sz w:val="24"/>
          <w:highlight w:val="none"/>
        </w:rPr>
        <w:t xml:space="preserve"> </w:t>
      </w:r>
      <w:bookmarkEnd w:id="73"/>
      <w:r>
        <w:rPr>
          <w:highlight w:val="none"/>
        </w:rPr>
      </w:r>
      <w:r/>
    </w:p>
    <w:p>
      <w:pPr>
        <w:ind w:firstLine="480"/>
        <w:spacing w:line="360" w:lineRule="auto"/>
        <w:rPr>
          <w:rFonts w:hint="eastAsia" w:ascii="宋体" w:hAnsi="宋体"/>
          <w:color w:val="auto"/>
          <w:sz w:val="24"/>
          <w:szCs w:val="28"/>
          <w:highlight w:val="none"/>
        </w:rPr>
      </w:pPr>
      <w:r>
        <w:rPr>
          <w:rFonts w:hint="eastAsia" w:ascii="宋体" w:hAnsi="宋体"/>
          <w:color w:val="auto"/>
          <w:sz w:val="24"/>
          <w:highlight w:val="none"/>
        </w:rPr>
        <w:t xml:space="preserve">3.4 本次采购确定的成交人数量：</w:t>
      </w:r>
      <w:bookmarkStart w:id="74" w:name="EB239bc7938d02463888f23182e5e568e7"/>
      <w:r>
        <w:rPr>
          <w:rFonts w:hint="eastAsia" w:ascii="宋体" w:hAnsi="宋体"/>
          <w:color w:val="auto"/>
          <w:sz w:val="24"/>
          <w:szCs w:val="28"/>
          <w:highlight w:val="none"/>
        </w:rPr>
        <w:t xml:space="preserve">1名</w:t>
      </w:r>
      <w:bookmarkEnd w:id="74"/>
      <w:r>
        <w:rPr>
          <w:rFonts w:ascii="宋体" w:hAnsi="宋体"/>
          <w:color w:val="auto"/>
          <w:sz w:val="24"/>
          <w:szCs w:val="28"/>
          <w:highlight w:val="none"/>
        </w:rPr>
        <w:t xml:space="preserve"> </w:t>
      </w:r>
      <w:bookmarkStart w:id="75" w:name="EB65f1af548e51428190f46d10e71d9afc"/>
      <w:r>
        <w:rPr>
          <w:highlight w:val="none"/>
        </w:rPr>
      </w:r>
      <w:bookmarkEnd w:id="75"/>
      <w:r>
        <w:rPr>
          <w:highlight w:val="none"/>
        </w:rPr>
      </w:r>
      <w:r/>
    </w:p>
    <w:p>
      <w:pPr>
        <w:pStyle w:val="1004"/>
        <w:ind w:firstLine="446"/>
        <w:keepLines w:val="0"/>
        <w:keepNext w:val="0"/>
        <w:spacing w:line="360" w:lineRule="auto"/>
        <w:rPr>
          <w:rFonts w:hint="eastAsia" w:ascii="宋体" w:hAnsi="宋体"/>
          <w:color w:val="auto"/>
          <w:sz w:val="30"/>
          <w:highlight w:val="none"/>
        </w:rPr>
      </w:pPr>
      <w:r>
        <w:rPr>
          <w:highlight w:val="none"/>
        </w:rPr>
      </w:r>
      <w:bookmarkStart w:id="76" w:name="_Toc73364858"/>
      <w:r>
        <w:rPr>
          <w:highlight w:val="none"/>
        </w:rPr>
      </w:r>
      <w:bookmarkStart w:id="77" w:name="_Toc256000015"/>
      <w:r>
        <w:rPr>
          <w:highlight w:val="none"/>
        </w:rPr>
      </w:r>
      <w:bookmarkStart w:id="78" w:name="_Toc73365471"/>
      <w:r>
        <w:rPr>
          <w:rFonts w:hint="eastAsia" w:ascii="宋体" w:hAnsi="宋体"/>
          <w:color w:val="auto"/>
          <w:sz w:val="30"/>
          <w:highlight w:val="none"/>
          <w:lang w:eastAsia="zh-CN"/>
        </w:rPr>
        <w:t xml:space="preserve">4．磋商费用</w:t>
      </w:r>
      <w:bookmarkEnd w:id="76"/>
      <w:r>
        <w:rPr>
          <w:highlight w:val="none"/>
        </w:rPr>
      </w:r>
      <w:bookmarkEnd w:id="77"/>
      <w:r>
        <w:rPr>
          <w:highlight w:val="none"/>
        </w:rPr>
      </w:r>
      <w:bookmarkEnd w:id="78"/>
      <w:r>
        <w:rPr>
          <w:highlight w:val="none"/>
        </w:rPr>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供应商应自行承担所有与参加磋商有关的费用</w:t>
      </w:r>
      <w:r>
        <w:rPr>
          <w:rFonts w:hint="eastAsia" w:ascii="宋体" w:hAnsi="宋体"/>
          <w:b/>
          <w:color w:val="auto"/>
          <w:sz w:val="24"/>
          <w:highlight w:val="none"/>
        </w:rPr>
        <w:t xml:space="preserve">。</w:t>
      </w:r>
      <w:r>
        <w:rPr>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4.2采购代理服务费由采购人支付</w:t>
      </w:r>
      <w:r>
        <w:rPr>
          <w:rFonts w:hint="eastAsia" w:ascii="宋体" w:hAnsi="宋体"/>
          <w:color w:val="auto"/>
          <w:sz w:val="24"/>
          <w:highlight w:val="none"/>
        </w:rPr>
        <w:t xml:space="preserve">，费用25000元</w:t>
      </w:r>
      <w:r>
        <w:rPr>
          <w:rFonts w:hint="eastAsia" w:ascii="宋体" w:hAnsi="宋体"/>
          <w:color w:val="auto"/>
          <w:sz w:val="24"/>
          <w:highlight w:val="none"/>
        </w:rP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代理费用收款信息</w:t>
      </w:r>
      <w:r>
        <w:rPr>
          <w:rFonts w:hint="eastAsia" w:ascii="宋体" w:hAnsi="宋体"/>
          <w:color w:val="auto"/>
          <w:sz w:val="24"/>
          <w:highlight w:val="none"/>
        </w:rP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收款单位</w:t>
      </w:r>
      <w:r>
        <w:rPr>
          <w:rFonts w:hint="eastAsia" w:ascii="宋体" w:hAnsi="宋体"/>
          <w:color w:val="auto"/>
          <w:sz w:val="24"/>
          <w:highlight w:val="none"/>
        </w:rPr>
        <w:t xml:space="preserve">：大洲设计咨询集团有限公司句容分公司</w:t>
      </w:r>
      <w:r>
        <w:rPr>
          <w:rFonts w:hint="eastAsia" w:ascii="宋体" w:hAnsi="宋体"/>
          <w:color w:val="auto"/>
          <w:sz w:val="24"/>
          <w:highlight w:val="none"/>
        </w:rPr>
      </w:r>
    </w:p>
    <w:p>
      <w:pPr>
        <w:ind w:firstLine="480"/>
        <w:spacing w:line="360" w:lineRule="auto"/>
        <w:tabs>
          <w:tab w:val="center" w:pos="4683" w:leader="none"/>
        </w:tabs>
        <w:rPr>
          <w:highlight w:val="none"/>
        </w:rPr>
      </w:pPr>
      <w:r>
        <w:rPr>
          <w:rFonts w:hint="eastAsia" w:ascii="宋体" w:hAnsi="宋体"/>
          <w:color w:val="auto"/>
          <w:sz w:val="24"/>
          <w:highlight w:val="none"/>
        </w:rPr>
        <w:t xml:space="preserve">收款账号</w:t>
      </w:r>
      <w:r>
        <w:rPr>
          <w:rFonts w:hint="eastAsia" w:ascii="宋体" w:hAnsi="宋体"/>
          <w:color w:val="auto"/>
          <w:sz w:val="24"/>
          <w:highlight w:val="none"/>
        </w:rPr>
        <w:t xml:space="preserve">：</w:t>
      </w:r>
      <w:r>
        <w:rPr>
          <w:rFonts w:hint="eastAsia" w:ascii="宋体" w:hAnsi="宋体"/>
          <w:color w:val="auto"/>
          <w:sz w:val="24"/>
          <w:szCs w:val="24"/>
          <w:highlight w:val="none"/>
        </w:rPr>
      </w:r>
      <w:r>
        <w:rPr>
          <w:rFonts w:hint="eastAsia" w:ascii="宋体" w:hAnsi="宋体"/>
          <w:color w:val="auto"/>
          <w:sz w:val="24"/>
          <w:highlight w:val="none"/>
        </w:rPr>
      </w:r>
      <w:r>
        <w:rPr>
          <w:rFonts w:hint="eastAsia" w:ascii="宋体" w:hAnsi="宋体"/>
          <w:color w:val="auto"/>
          <w:sz w:val="24"/>
          <w:highlight w:val="none"/>
        </w:rPr>
        <w:t xml:space="preserve">1104031609000034569</w:t>
      </w:r>
      <w:r>
        <w:rPr>
          <w:rFonts w:hint="eastAsia" w:ascii="宋体" w:hAnsi="宋体"/>
          <w:color w:val="auto"/>
          <w:sz w:val="24"/>
          <w:szCs w:val="24"/>
          <w:highlight w:val="none"/>
        </w:rPr>
      </w:r>
      <w:r>
        <w:tab/>
      </w:r>
      <w:r/>
    </w:p>
    <w:p>
      <w:pPr>
        <w:ind w:firstLine="480"/>
        <w:spacing w:line="360" w:lineRule="auto"/>
        <w:tabs>
          <w:tab w:val="left" w:pos="1614" w:leader="none"/>
          <w:tab w:val="center" w:pos="4683" w:leader="none"/>
        </w:tabs>
        <w:rPr>
          <w:rFonts w:hint="eastAsia" w:ascii="宋体" w:hAnsi="宋体"/>
          <w:color w:val="auto"/>
          <w:sz w:val="24"/>
          <w:szCs w:val="24"/>
          <w:highlight w:val="none"/>
        </w:rPr>
      </w:pPr>
      <w:r>
        <w:rPr>
          <w:highlight w:val="none"/>
        </w:rPr>
        <w:t xml:space="preserve">开户银行</w:t>
      </w:r>
      <w:r>
        <w:rPr>
          <w:highlight w:val="none"/>
        </w:rPr>
        <w:t xml:space="preserve">：</w:t>
      </w:r>
      <w:r>
        <w:rPr>
          <w:highlight w:val="none"/>
        </w:rPr>
      </w:r>
      <w:r>
        <w:rPr>
          <w:highlight w:val="none"/>
        </w:rPr>
        <w:t xml:space="preserve">中国工商银行股份有限公司句容崇明桥支行</w:t>
      </w:r>
      <w:r>
        <w:rPr>
          <w:highlight w:val="none"/>
        </w:rPr>
        <w:tab/>
      </w:r>
      <w:r>
        <w:rPr>
          <w:highlight w:val="none"/>
        </w:rPr>
      </w:r>
    </w:p>
    <w:p>
      <w:pPr>
        <w:ind w:firstLine="480"/>
        <w:spacing w:line="360" w:lineRule="auto"/>
        <w:rPr>
          <w:rFonts w:hint="eastAsia" w:ascii="宋体" w:hAnsi="宋体"/>
          <w:color w:val="auto"/>
          <w:highlight w:val="none"/>
        </w:rPr>
      </w:pPr>
      <w:r>
        <w:rPr>
          <w:rFonts w:hint="eastAsia" w:ascii="宋体" w:hAnsi="宋体"/>
          <w:color w:val="auto"/>
          <w:sz w:val="24"/>
          <w:highlight w:val="none"/>
        </w:rPr>
        <w:t xml:space="preserve">4.3不论磋商的结果如何，磋商组织方在任何情况下均无义务和责任承担上述费用。</w:t>
      </w:r>
      <w:r>
        <w:rPr>
          <w:rFonts w:hint="eastAsia" w:ascii="宋体" w:hAnsi="宋体"/>
          <w:color w:val="auto"/>
          <w:sz w:val="24"/>
          <w:szCs w:val="24"/>
          <w:highlight w:val="none"/>
        </w:rPr>
      </w:r>
      <w:r/>
    </w:p>
    <w:p>
      <w:pPr>
        <w:ind w:firstLine="0"/>
        <w:jc w:val="left"/>
        <w:spacing w:line="360" w:lineRule="auto"/>
        <w:rPr>
          <w:rFonts w:hint="eastAsia" w:ascii="宋体" w:hAnsi="宋体"/>
          <w:color w:val="auto"/>
          <w:sz w:val="24"/>
          <w:szCs w:val="24"/>
          <w:highlight w:val="none"/>
        </w:rPr>
      </w:pPr>
      <w:r>
        <w:rPr>
          <w:rFonts w:hint="eastAsia" w:ascii="宋体" w:hAnsi="宋体"/>
          <w:color w:val="auto"/>
          <w:sz w:val="24"/>
          <w:highlight w:val="none"/>
        </w:rPr>
      </w:r>
      <w:r/>
      <w:r/>
    </w:p>
    <w:p>
      <w:pPr>
        <w:pStyle w:val="785"/>
        <w:rPr>
          <w:color w:val="auto"/>
          <w:highlight w:val="none"/>
        </w:rPr>
      </w:pPr>
      <w:r>
        <w:rPr>
          <w:color w:val="auto"/>
          <w:highlight w:val="none"/>
        </w:rPr>
      </w:r>
      <w:r>
        <w:rPr>
          <w:highlight w:val="none"/>
        </w:rPr>
      </w:r>
      <w:r/>
    </w:p>
    <w:p>
      <w:pPr>
        <w:pStyle w:val="1004"/>
        <w:ind w:firstLine="446"/>
        <w:keepLines w:val="0"/>
        <w:keepNext w:val="0"/>
        <w:spacing w:before="200" w:after="200" w:line="360" w:lineRule="auto"/>
        <w:rPr>
          <w:rFonts w:hint="eastAsia" w:ascii="宋体" w:hAnsi="宋体"/>
          <w:color w:val="auto"/>
          <w:sz w:val="30"/>
          <w:highlight w:val="none"/>
        </w:rPr>
      </w:pPr>
      <w:r>
        <w:rPr>
          <w:highlight w:val="none"/>
        </w:rPr>
      </w:r>
      <w:bookmarkStart w:id="79" w:name="_Toc73364859"/>
      <w:r>
        <w:rPr>
          <w:highlight w:val="none"/>
        </w:rPr>
      </w:r>
      <w:bookmarkStart w:id="80" w:name="_Toc256000016"/>
      <w:r>
        <w:rPr>
          <w:highlight w:val="none"/>
        </w:rPr>
      </w:r>
      <w:bookmarkStart w:id="81" w:name="_Toc73365472"/>
      <w:r>
        <w:rPr>
          <w:rFonts w:hint="eastAsia" w:ascii="宋体" w:hAnsi="宋体"/>
          <w:color w:val="auto"/>
          <w:sz w:val="30"/>
          <w:highlight w:val="none"/>
          <w:lang w:eastAsia="zh-CN"/>
        </w:rPr>
        <w:t xml:space="preserve">5．政策功能</w:t>
      </w:r>
      <w:bookmarkEnd w:id="79"/>
      <w:r>
        <w:rPr>
          <w:highlight w:val="none"/>
        </w:rPr>
      </w:r>
      <w:bookmarkEnd w:id="80"/>
      <w:r>
        <w:rPr>
          <w:highlight w:val="none"/>
        </w:rPr>
      </w:r>
      <w:bookmarkEnd w:id="81"/>
      <w:r>
        <w:rPr>
          <w:highlight w:val="none"/>
        </w:rPr>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highlight w:val="none"/>
        </w:rPr>
      </w:r>
      <w:bookmarkStart w:id="82" w:name="EB39beb4a8f399413b834ec4cdb7b2bea0"/>
      <w:r>
        <w:rPr>
          <w:rFonts w:hint="eastAsia" w:asciiTheme="minorEastAsia" w:hAnsiTheme="minorEastAsia" w:eastAsiaTheme="minorEastAsia" w:cstheme="minorEastAsia"/>
          <w:color w:val="auto"/>
          <w:sz w:val="24"/>
          <w:szCs w:val="24"/>
          <w:highlight w:val="none"/>
          <w:lang w:val="en-US" w:eastAsia="zh-CN" w:bidi="ar-SA"/>
        </w:rPr>
        <w:t xml:space="preserve">5.1支持中小企业发展</w:t>
      </w:r>
      <w:r>
        <w:rPr>
          <w:highlight w:val="none"/>
        </w:rPr>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none"/>
        </w:rPr>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符合中小企业划分标准的个体工商户，在政府采购活动中视同中小企业。</w:t>
      </w:r>
      <w:r>
        <w:rPr>
          <w:highlight w:val="none"/>
        </w:rPr>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rPr>
          <w:highlight w:val="none"/>
        </w:rPr>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5.1.2.1在货物采购项目中，货物由中小企业制造，即货物由中小企业生产且使用该中小企业商号或者注册商标；</w:t>
      </w:r>
      <w:r>
        <w:rPr>
          <w:highlight w:val="none"/>
        </w:rPr>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5.1.2.2在工程采购项目中，工程由中小企业承建，即工程施工单位为中小企业；</w:t>
      </w:r>
      <w:r>
        <w:rPr>
          <w:highlight w:val="none"/>
        </w:rPr>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5.1.2.3在服务采购项目中，服务由中小企业承接，即提供服务的人员为中小企业依照《中华人民共和国劳动合同法》订立劳动合同的从业人员。</w:t>
      </w:r>
      <w:r>
        <w:rPr>
          <w:highlight w:val="none"/>
        </w:rPr>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在货物采购项目中，投标人提供的货物既有中小企业制造货物，也有大型企业制造货物的，不享受中小企业扶持政策。</w:t>
      </w:r>
      <w:r>
        <w:rPr>
          <w:highlight w:val="none"/>
        </w:rPr>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以联合体形式参加政府采购活动，联合体各方均为中小企业的，联合体视同中小企业。其中，联合体各方均为小微企业的，联合体视同小微企业。</w:t>
      </w:r>
      <w:r>
        <w:rPr>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83" w:name="_Hlk132637972"/>
      <w:r>
        <w:rPr>
          <w:rFonts w:hint="eastAsia" w:asciiTheme="minorEastAsia" w:hAnsiTheme="minorEastAsia" w:eastAsiaTheme="minorEastAsia" w:cstheme="minorEastAsia"/>
          <w:iCs/>
          <w:color w:val="auto"/>
          <w:sz w:val="24"/>
          <w:szCs w:val="24"/>
          <w:highlight w:val="none"/>
          <w:lang w:val="en-US" w:eastAsia="zh-CN" w:bidi="ar-SA"/>
        </w:rPr>
        <w:t xml:space="preserve">10%-20%</w:t>
      </w:r>
      <w:bookmarkEnd w:id="83"/>
      <w:r>
        <w:rPr>
          <w:rFonts w:hint="eastAsia" w:asciiTheme="minorEastAsia" w:hAnsiTheme="minorEastAsia" w:eastAsiaTheme="minorEastAsia" w:cstheme="minorEastAsia"/>
          <w:color w:val="auto"/>
          <w:sz w:val="24"/>
          <w:szCs w:val="24"/>
          <w:highlight w:val="none"/>
          <w:lang w:val="en-US" w:eastAsia="zh-CN" w:bidi="ar-SA"/>
        </w:rPr>
        <w:t xml:space="preserve">的扣除，</w:t>
      </w:r>
      <w:bookmarkStart w:id="84" w:name="_Hlk132637893"/>
      <w:r>
        <w:rPr>
          <w:rFonts w:hint="eastAsia" w:asciiTheme="minorEastAsia" w:hAnsiTheme="minorEastAsia" w:eastAsiaTheme="minorEastAsia" w:cstheme="minorEastAsia"/>
          <w:color w:val="auto"/>
          <w:sz w:val="24"/>
          <w:szCs w:val="24"/>
          <w:highlight w:val="none"/>
          <w:lang w:val="en-US" w:eastAsia="zh-CN" w:bidi="ar-SA"/>
        </w:rPr>
        <w:t xml:space="preserve">用扣除后的价格参与评审</w:t>
      </w:r>
      <w:bookmarkEnd w:id="84"/>
      <w:r>
        <w:rPr>
          <w:rFonts w:hint="eastAsia" w:asciiTheme="minorEastAsia" w:hAnsiTheme="minorEastAsia" w:eastAsiaTheme="minorEastAsia" w:cstheme="minorEastAsia"/>
          <w:color w:val="auto"/>
          <w:sz w:val="24"/>
          <w:szCs w:val="24"/>
          <w:highlight w:val="none"/>
          <w:lang w:val="en-US" w:eastAsia="zh-CN" w:bidi="ar-SA"/>
        </w:rPr>
        <w:t xml:space="preserve">。接受大中型企业与小微企业组成联合体或者允许大中型企业向一家或者多家小微企业分包的政府采购货物或服务项目，对于联合协议或者分包意向协议</w:t>
      </w:r>
      <w:r>
        <w:rPr>
          <w:rFonts w:hint="eastAsia" w:asciiTheme="minorEastAsia" w:hAnsiTheme="minorEastAsia" w:eastAsiaTheme="minorEastAsia" w:cstheme="minorEastAsia"/>
          <w:bCs/>
          <w:color w:val="auto"/>
          <w:sz w:val="24"/>
          <w:szCs w:val="24"/>
          <w:highlight w:val="none"/>
          <w:lang w:val="en-US" w:eastAsia="zh-CN" w:bidi="ar-SA"/>
        </w:rPr>
        <w:t xml:space="preserve">约定小型、微型企业的协议合同金额占到合同总金额30%以上的，给予联合体</w:t>
      </w:r>
      <w:r>
        <w:rPr>
          <w:rFonts w:hint="eastAsia" w:asciiTheme="minorEastAsia" w:hAnsiTheme="minorEastAsia" w:eastAsiaTheme="minorEastAsia" w:cstheme="minorEastAsia"/>
          <w:bCs/>
          <w:iCs/>
          <w:color w:val="auto"/>
          <w:sz w:val="24"/>
          <w:szCs w:val="24"/>
          <w:highlight w:val="none"/>
          <w:lang w:val="en-US" w:eastAsia="zh-CN" w:bidi="ar-SA"/>
        </w:rPr>
        <w:t xml:space="preserve">4%-6%</w:t>
      </w:r>
      <w:r>
        <w:rPr>
          <w:rFonts w:hint="eastAsia" w:asciiTheme="minorEastAsia" w:hAnsiTheme="minorEastAsia" w:eastAsiaTheme="minorEastAsia" w:cstheme="minorEastAsia"/>
          <w:bCs/>
          <w:color w:val="auto"/>
          <w:sz w:val="24"/>
          <w:szCs w:val="24"/>
          <w:highlight w:val="none"/>
          <w:lang w:val="en-US" w:eastAsia="zh-CN" w:bidi="ar-SA"/>
        </w:rPr>
        <w:t xml:space="preserve">的价格扣除。联合体各方均为小型、微型企业的，联合体视同为小型、微型企业享受</w:t>
      </w:r>
      <w:r>
        <w:rPr>
          <w:rFonts w:hint="eastAsia" w:asciiTheme="minorEastAsia" w:hAnsiTheme="minorEastAsia" w:eastAsiaTheme="minorEastAsia" w:cstheme="minorEastAsia"/>
          <w:iCs/>
          <w:color w:val="auto"/>
          <w:sz w:val="24"/>
          <w:szCs w:val="24"/>
          <w:highlight w:val="none"/>
          <w:lang w:val="en-US" w:eastAsia="zh-CN" w:bidi="ar-SA"/>
        </w:rPr>
        <w:t xml:space="preserve">10%-20%</w:t>
      </w:r>
      <w:r>
        <w:rPr>
          <w:rFonts w:hint="eastAsia" w:asciiTheme="minorEastAsia" w:hAnsiTheme="minorEastAsia" w:eastAsiaTheme="minorEastAsia" w:cstheme="minorEastAsia"/>
          <w:bCs/>
          <w:color w:val="auto"/>
          <w:sz w:val="24"/>
          <w:szCs w:val="24"/>
          <w:highlight w:val="none"/>
          <w:lang w:val="en-US" w:eastAsia="zh-CN" w:bidi="ar-SA"/>
        </w:rPr>
        <w:t xml:space="preserve">的价格扣除，</w:t>
      </w:r>
      <w:r>
        <w:rPr>
          <w:rFonts w:hint="eastAsia" w:asciiTheme="minorEastAsia" w:hAnsiTheme="minorEastAsia" w:eastAsiaTheme="minorEastAsia" w:cstheme="minorEastAsia"/>
          <w:color w:val="auto"/>
          <w:sz w:val="24"/>
          <w:szCs w:val="24"/>
          <w:highlight w:val="none"/>
          <w:lang w:val="en-US" w:eastAsia="zh-CN" w:bidi="ar-SA"/>
        </w:rPr>
        <w:t xml:space="preserve">用扣除后的价格参与评审</w:t>
      </w:r>
      <w:r>
        <w:rPr>
          <w:rFonts w:hint="eastAsia" w:asciiTheme="minorEastAsia" w:hAnsiTheme="minorEastAsia" w:eastAsiaTheme="minorEastAsia" w:cstheme="minorEastAsia"/>
          <w:bCs/>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bidi="ar-SA"/>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highlight w:val="none"/>
        </w:rPr>
      </w:r>
      <w:r/>
    </w:p>
    <w:p>
      <w:pPr>
        <w:ind w:firstLine="480"/>
        <w:jc w:val="both"/>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5.1.4</w:t>
      </w:r>
      <w:r>
        <w:rPr>
          <w:rFonts w:hint="eastAsia" w:asciiTheme="minorEastAsia" w:hAnsiTheme="minorEastAsia" w:eastAsiaTheme="minorEastAsia" w:cstheme="minorEastAsia"/>
          <w:bCs/>
          <w:color w:val="auto"/>
          <w:sz w:val="24"/>
          <w:szCs w:val="24"/>
          <w:highlight w:val="none"/>
          <w:lang w:val="en-US" w:eastAsia="zh-CN" w:bidi="ar-SA"/>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highlight w:val="none"/>
        </w:rPr>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bidi="ar-S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highlight w:val="none"/>
        </w:rPr>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bidi="ar-SA"/>
        </w:rPr>
        <w:t xml:space="preserve">5.1.6中小企业享受扶持政策获得政府采购合同的，小微企业不得将合同分包给大中型企业，中型企业不得将合同分包给大型企业。</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5.2强制采购信息安全产品</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信息安全产品指国家质检总局国家认监委《信息安全产品强制性认证目录》，并获得强制性产品认证证书的产品。</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5.3支持绿色发展</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5.3.2本项目中涉及商品包装和快递包装的，参考《财政部办公厅关于印发《商品包装政府采购需求标准（试行）》、《快递包装政府采购需求标准（试行）》的通知》</w:t>
      </w:r>
      <w:bookmarkStart w:id="85" w:name="_Hlk132634610"/>
      <w:r>
        <w:rPr>
          <w:rFonts w:hint="eastAsia" w:asciiTheme="minorEastAsia" w:hAnsiTheme="minorEastAsia" w:eastAsiaTheme="minorEastAsia" w:cstheme="minorEastAsia"/>
          <w:color w:val="auto"/>
          <w:sz w:val="24"/>
          <w:szCs w:val="24"/>
          <w:highlight w:val="none"/>
          <w:lang w:val="en-US" w:eastAsia="zh-CN" w:bidi="ar-SA"/>
        </w:rPr>
        <w:t xml:space="preserve">（财办库〔2020〕123号）</w:t>
      </w:r>
      <w:bookmarkEnd w:id="85"/>
      <w:r>
        <w:rPr>
          <w:rFonts w:hint="eastAsia" w:asciiTheme="minorEastAsia" w:hAnsiTheme="minorEastAsia" w:eastAsiaTheme="minorEastAsia" w:cstheme="minorEastAsia"/>
          <w:color w:val="auto"/>
          <w:sz w:val="24"/>
          <w:szCs w:val="24"/>
          <w:highlight w:val="none"/>
          <w:lang w:val="en-US" w:eastAsia="zh-CN" w:bidi="ar-SA"/>
        </w:rPr>
        <w:t xml:space="preserve">规定的包装需求标准。</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5.4 根据国家扶持中小企业的有关政策，采购项目中标人在履约过程中如遇到资金困难，凭政府采购合同在相关金融机构办理授信申请，相关事宜请查阅“江苏政府采购网—政采贷”网站。</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5.5支持创新发展</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5.5.1采购人优先采购被认定为重点推广应用、首台（套）重大装备、重点领域首版次软件的自主创新产品。</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5.6平等对待内外资企业和符合条件的破产重整企业</w:t>
      </w:r>
      <w:r>
        <w:rPr>
          <w:highlight w:val="none"/>
        </w:rPr>
      </w:r>
      <w:r/>
    </w:p>
    <w:p>
      <w:pPr>
        <w:ind w:firstLine="478"/>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5.6.1平等对待内外资企业和符合条件的破产重整企业，切实保障企业公平竞争，平等维护企业的合法利益。</w:t>
      </w:r>
      <w:r>
        <w:rPr>
          <w:highlight w:val="none"/>
        </w:rPr>
      </w:r>
      <w:r/>
    </w:p>
    <w:p>
      <w:pPr>
        <w:ind w:firstLine="47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5.7</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强化政府采购异常低价审查</w:t>
      </w:r>
      <w:r>
        <w:rPr>
          <w:highlight w:val="none"/>
        </w:rPr>
      </w:r>
      <w:r/>
    </w:p>
    <w:p>
      <w:pPr>
        <w:ind w:firstLine="47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5.7.1评审过程中出现下列情形之一的，评审委员会应当启动异常低价投标(响应)审查程序:</w:t>
      </w:r>
      <w:r>
        <w:rPr>
          <w:highlight w:val="none"/>
        </w:rPr>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（1）投标(响应)报价低于采购项目预算50%的，即投标(响应)报价&lt;采购项目预算x50%；</w:t>
      </w:r>
      <w:r>
        <w:rPr>
          <w:highlight w:val="none"/>
        </w:rPr>
      </w:r>
      <w:r/>
    </w:p>
    <w:p>
      <w:pPr>
        <w:numPr>
          <w:ilvl w:val="0"/>
          <w:numId w:val="0"/>
        </w:numPr>
        <w:ind w:left="47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（2）投标(响应)报价低于采购项目最高限价45%的，即投标(响应)报价&lt;采购项目最</w:t>
      </w:r>
      <w:r>
        <w:rPr>
          <w:highlight w:val="none"/>
        </w:rPr>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高限价x45%;</w:t>
      </w:r>
      <w:r>
        <w:rPr>
          <w:highlight w:val="none"/>
        </w:rPr>
      </w:r>
      <w:r/>
    </w:p>
    <w:p>
      <w:pPr>
        <w:numPr>
          <w:ilvl w:val="0"/>
          <w:numId w:val="5"/>
        </w:numPr>
        <w:ind w:left="47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评审委员会认定的供应商报价过低、有可能影响产品质量或者不能诚信履约的</w:t>
      </w:r>
      <w:r>
        <w:rPr>
          <w:highlight w:val="none"/>
        </w:rPr>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其他情形。</w:t>
      </w:r>
      <w:r>
        <w:rPr>
          <w:highlight w:val="none"/>
        </w:rPr>
      </w:r>
      <w:r/>
    </w:p>
    <w:p>
      <w:pPr>
        <w:numPr>
          <w:ilvl w:val="0"/>
          <w:numId w:val="0"/>
        </w:numPr>
        <w:ind w:left="47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5.7.2启动异常低价投标(响应)审查后，评审委员会应当要求相关供应商</w:t>
      </w:r>
      <w:r>
        <w:rPr>
          <w:highlight w:val="none"/>
        </w:rPr>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员会应当将其作为无效投标(响应)处理。审查相关情况应当在评审报告中进行记录。</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 </w:t>
      </w:r>
      <w:bookmarkEnd w:id="82"/>
      <w:r>
        <w:rPr>
          <w:highlight w:val="none"/>
        </w:rPr>
      </w:r>
      <w:r/>
    </w:p>
    <w:p>
      <w:pPr>
        <w:pStyle w:val="1002"/>
        <w:rPr>
          <w:rFonts w:hint="eastAsia" w:ascii="宋体" w:hAnsi="宋体" w:eastAsia="宋体"/>
          <w:color w:val="auto"/>
          <w:sz w:val="32"/>
          <w:highlight w:val="none"/>
        </w:rPr>
      </w:pPr>
      <w:r>
        <w:rPr>
          <w:highlight w:val="none"/>
        </w:rPr>
      </w:r>
      <w:bookmarkStart w:id="86" w:name="_Toc73364860"/>
      <w:r>
        <w:rPr>
          <w:highlight w:val="none"/>
        </w:rPr>
      </w:r>
      <w:bookmarkStart w:id="87" w:name="_Toc73365473"/>
      <w:r>
        <w:rPr>
          <w:highlight w:val="none"/>
        </w:rPr>
      </w:r>
      <w:bookmarkStart w:id="88" w:name="_Toc256000017"/>
      <w:r>
        <w:rPr>
          <w:rFonts w:hint="eastAsia" w:ascii="宋体" w:hAnsi="宋体" w:eastAsia="宋体"/>
          <w:color w:val="auto"/>
          <w:sz w:val="32"/>
          <w:highlight w:val="none"/>
          <w:lang w:eastAsia="zh-CN"/>
        </w:rPr>
        <w:t xml:space="preserve">二、磋商文件</w:t>
      </w:r>
      <w:bookmarkEnd w:id="86"/>
      <w:r>
        <w:rPr>
          <w:highlight w:val="none"/>
        </w:rPr>
      </w:r>
      <w:bookmarkEnd w:id="87"/>
      <w:r>
        <w:rPr>
          <w:highlight w:val="none"/>
        </w:rPr>
      </w:r>
      <w:bookmarkEnd w:id="88"/>
      <w:r>
        <w:rPr>
          <w:highlight w:val="none"/>
        </w:rPr>
      </w:r>
      <w:r/>
    </w:p>
    <w:p>
      <w:pPr>
        <w:pStyle w:val="1004"/>
        <w:ind w:firstLine="446"/>
        <w:keepLines w:val="0"/>
        <w:keepNext w:val="0"/>
        <w:spacing w:before="200" w:after="200" w:line="360" w:lineRule="auto"/>
        <w:rPr>
          <w:rFonts w:hint="eastAsia" w:ascii="宋体" w:hAnsi="宋体"/>
          <w:color w:val="auto"/>
          <w:sz w:val="30"/>
          <w:highlight w:val="none"/>
        </w:rPr>
      </w:pPr>
      <w:r>
        <w:rPr>
          <w:highlight w:val="none"/>
        </w:rPr>
      </w:r>
      <w:bookmarkStart w:id="89" w:name="_Toc256000018"/>
      <w:r>
        <w:rPr>
          <w:highlight w:val="none"/>
        </w:rPr>
      </w:r>
      <w:bookmarkStart w:id="90" w:name="_Toc73364861"/>
      <w:r>
        <w:rPr>
          <w:highlight w:val="none"/>
        </w:rPr>
      </w:r>
      <w:bookmarkStart w:id="91" w:name="_Toc73365474"/>
      <w:r>
        <w:rPr>
          <w:rFonts w:hint="eastAsia" w:ascii="宋体" w:hAnsi="宋体"/>
          <w:color w:val="auto"/>
          <w:sz w:val="30"/>
          <w:highlight w:val="none"/>
          <w:lang w:eastAsia="zh-CN"/>
        </w:rPr>
        <w:t xml:space="preserve">6．磋商文件组成</w:t>
      </w:r>
      <w:bookmarkEnd w:id="89"/>
      <w:r>
        <w:rPr>
          <w:highlight w:val="none"/>
        </w:rPr>
      </w:r>
      <w:bookmarkEnd w:id="90"/>
      <w:r>
        <w:rPr>
          <w:highlight w:val="none"/>
        </w:rPr>
      </w:r>
      <w:bookmarkEnd w:id="91"/>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6.1磋商文件包括：</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（1）磋商邀请</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（2）供应商须知</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（3）合同</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（4）采购需求</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（5）评审办法和标准</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（6）磋商响应文件（格式）</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rPr>
          <w:highlight w:val="none"/>
        </w:rPr>
      </w:r>
      <w:r/>
    </w:p>
    <w:p>
      <w:pPr>
        <w:pStyle w:val="1004"/>
        <w:ind w:firstLine="446"/>
        <w:keepLines w:val="0"/>
        <w:keepNext w:val="0"/>
        <w:spacing w:before="200" w:after="200" w:line="360" w:lineRule="auto"/>
        <w:rPr>
          <w:rFonts w:hint="eastAsia" w:ascii="宋体" w:hAnsi="宋体"/>
          <w:color w:val="auto"/>
          <w:sz w:val="30"/>
          <w:highlight w:val="none"/>
        </w:rPr>
      </w:pPr>
      <w:r>
        <w:rPr>
          <w:highlight w:val="none"/>
        </w:rPr>
      </w:r>
      <w:bookmarkStart w:id="92" w:name="_Toc256000019"/>
      <w:r>
        <w:rPr>
          <w:highlight w:val="none"/>
        </w:rPr>
      </w:r>
      <w:bookmarkStart w:id="93" w:name="_Toc73364862"/>
      <w:r>
        <w:rPr>
          <w:highlight w:val="none"/>
        </w:rPr>
      </w:r>
      <w:bookmarkStart w:id="94" w:name="_Toc73365475"/>
      <w:r>
        <w:rPr>
          <w:rFonts w:hint="eastAsia" w:ascii="宋体" w:hAnsi="宋体"/>
          <w:color w:val="auto"/>
          <w:sz w:val="30"/>
          <w:highlight w:val="none"/>
        </w:rPr>
        <w:t xml:space="preserve">7．磋商文件的澄清和修改</w:t>
      </w:r>
      <w:bookmarkEnd w:id="92"/>
      <w:r>
        <w:rPr>
          <w:highlight w:val="none"/>
        </w:rPr>
      </w:r>
      <w:bookmarkEnd w:id="93"/>
      <w:r>
        <w:rPr>
          <w:highlight w:val="none"/>
        </w:rPr>
      </w:r>
      <w:bookmarkEnd w:id="94"/>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7.3磋商组织方可以对已发出的磋商文件进行必要的澄清或者修改。澄清或者修改将在“江苏政府采购”网站上发布澄清公告。澄清或者修改的内容为磋商文件的组成部分。</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rPr>
          <w:highlight w:val="none"/>
        </w:rPr>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rPr>
          <w:highlight w:val="none"/>
        </w:rPr>
      </w:r>
      <w:r/>
    </w:p>
    <w:p>
      <w:pPr>
        <w:rPr>
          <w:color w:val="auto"/>
          <w:highlight w:val="none"/>
        </w:rPr>
      </w:pPr>
      <w:r>
        <w:rPr>
          <w:highlight w:val="none"/>
        </w:rPr>
      </w:r>
      <w:bookmarkStart w:id="95" w:name="EB6b6863424e2e48afbb4b6eb8be474c89"/>
      <w:r>
        <w:rPr>
          <w:rFonts w:hint="eastAsia"/>
          <w:color w:val="auto"/>
          <w:sz w:val="20"/>
          <w:highlight w:val="none"/>
        </w:rPr>
        <w:t xml:space="preserve"> </w:t>
      </w:r>
      <w:bookmarkEnd w:id="95"/>
      <w:r>
        <w:rPr>
          <w:highlight w:val="none"/>
        </w:rPr>
      </w:r>
      <w:r/>
    </w:p>
    <w:p>
      <w:pPr>
        <w:rPr>
          <w:color w:val="auto"/>
          <w:highlight w:val="none"/>
        </w:rPr>
      </w:pPr>
      <w:r>
        <w:rPr>
          <w:highlight w:val="none"/>
        </w:rPr>
      </w:r>
      <w:bookmarkStart w:id="96" w:name="EB72d70437ecc14e52b97911dcb0eba452"/>
      <w:r>
        <w:rPr>
          <w:rFonts w:hint="eastAsia"/>
          <w:color w:val="auto"/>
          <w:sz w:val="20"/>
          <w:highlight w:val="none"/>
        </w:rPr>
        <w:t xml:space="preserve"> </w:t>
      </w:r>
      <w:bookmarkEnd w:id="96"/>
      <w:r>
        <w:rPr>
          <w:highlight w:val="none"/>
        </w:rPr>
      </w:r>
      <w:r/>
    </w:p>
    <w:p>
      <w:pPr>
        <w:pStyle w:val="1002"/>
        <w:rPr>
          <w:rFonts w:hint="eastAsia" w:ascii="宋体" w:hAnsi="宋体" w:eastAsia="宋体"/>
          <w:color w:val="auto"/>
          <w:sz w:val="32"/>
          <w:highlight w:val="none"/>
        </w:rPr>
      </w:pPr>
      <w:r>
        <w:rPr>
          <w:highlight w:val="none"/>
        </w:rPr>
      </w:r>
      <w:bookmarkStart w:id="97" w:name="_Toc73364863"/>
      <w:r>
        <w:rPr>
          <w:highlight w:val="none"/>
        </w:rPr>
      </w:r>
      <w:bookmarkStart w:id="98" w:name="_Toc256000020"/>
      <w:r>
        <w:rPr>
          <w:highlight w:val="none"/>
        </w:rPr>
      </w:r>
      <w:bookmarkStart w:id="99" w:name="_Toc73365476"/>
      <w:r>
        <w:rPr>
          <w:rFonts w:hint="eastAsia" w:ascii="宋体" w:hAnsi="宋体" w:eastAsia="宋体"/>
          <w:color w:val="auto"/>
          <w:sz w:val="32"/>
          <w:highlight w:val="none"/>
          <w:lang w:eastAsia="zh-CN"/>
        </w:rPr>
        <w:t xml:space="preserve">三、磋商响应文件</w:t>
      </w:r>
      <w:bookmarkEnd w:id="97"/>
      <w:r>
        <w:rPr>
          <w:highlight w:val="none"/>
        </w:rPr>
      </w:r>
      <w:bookmarkEnd w:id="98"/>
      <w:r>
        <w:rPr>
          <w:highlight w:val="none"/>
        </w:rPr>
      </w:r>
      <w:bookmarkEnd w:id="99"/>
      <w:r>
        <w:rPr>
          <w:highlight w:val="none"/>
        </w:rPr>
      </w:r>
      <w:r/>
    </w:p>
    <w:p>
      <w:pPr>
        <w:pStyle w:val="1004"/>
        <w:ind w:firstLine="446"/>
        <w:keepLines w:val="0"/>
        <w:keepNext w:val="0"/>
        <w:spacing w:before="200" w:after="200" w:line="360" w:lineRule="auto"/>
        <w:rPr>
          <w:rFonts w:hint="eastAsia" w:ascii="宋体" w:hAnsi="宋体"/>
          <w:color w:val="auto"/>
          <w:sz w:val="30"/>
          <w:highlight w:val="none"/>
        </w:rPr>
      </w:pPr>
      <w:r>
        <w:rPr>
          <w:highlight w:val="none"/>
        </w:rPr>
      </w:r>
      <w:bookmarkStart w:id="100" w:name="_Toc73365477"/>
      <w:r>
        <w:rPr>
          <w:highlight w:val="none"/>
        </w:rPr>
      </w:r>
      <w:bookmarkStart w:id="101" w:name="_Toc73364864"/>
      <w:r>
        <w:rPr>
          <w:highlight w:val="none"/>
        </w:rPr>
      </w:r>
      <w:bookmarkStart w:id="102" w:name="_Toc256000021"/>
      <w:r>
        <w:rPr>
          <w:rFonts w:hint="eastAsia" w:ascii="宋体" w:hAnsi="宋体"/>
          <w:color w:val="auto"/>
          <w:sz w:val="30"/>
          <w:highlight w:val="none"/>
          <w:lang w:eastAsia="zh-CN"/>
        </w:rPr>
        <w:t xml:space="preserve">8．编制响应文件的工具</w:t>
      </w:r>
      <w:bookmarkEnd w:id="100"/>
      <w:r>
        <w:rPr>
          <w:highlight w:val="none"/>
        </w:rPr>
      </w:r>
      <w:bookmarkEnd w:id="101"/>
      <w:r>
        <w:rPr>
          <w:highlight w:val="none"/>
        </w:rPr>
      </w:r>
      <w:bookmarkEnd w:id="102"/>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8.1供应商须通“苏采云”系统供应商操作手册要求的响应文件制作软件编制响应文件。</w:t>
      </w:r>
      <w:r>
        <w:rPr>
          <w:highlight w:val="none"/>
        </w:rPr>
      </w:r>
      <w:r/>
    </w:p>
    <w:p>
      <w:pPr>
        <w:pStyle w:val="1004"/>
        <w:ind w:firstLine="446"/>
        <w:keepLines w:val="0"/>
        <w:keepNext w:val="0"/>
        <w:spacing w:before="200" w:after="200" w:line="360" w:lineRule="auto"/>
        <w:rPr>
          <w:rFonts w:hint="eastAsia" w:ascii="宋体" w:hAnsi="宋体"/>
          <w:color w:val="auto"/>
          <w:sz w:val="30"/>
          <w:highlight w:val="none"/>
        </w:rPr>
      </w:pPr>
      <w:r>
        <w:rPr>
          <w:highlight w:val="none"/>
        </w:rPr>
      </w:r>
      <w:bookmarkStart w:id="103" w:name="_Toc256000022"/>
      <w:r>
        <w:rPr>
          <w:highlight w:val="none"/>
        </w:rPr>
      </w:r>
      <w:bookmarkStart w:id="104" w:name="_Toc73365478"/>
      <w:r>
        <w:rPr>
          <w:highlight w:val="none"/>
        </w:rPr>
      </w:r>
      <w:bookmarkStart w:id="105" w:name="_Toc73364865"/>
      <w:r>
        <w:rPr>
          <w:rFonts w:hint="eastAsia" w:ascii="宋体" w:hAnsi="宋体"/>
          <w:color w:val="auto"/>
          <w:sz w:val="30"/>
          <w:highlight w:val="none"/>
          <w:lang w:eastAsia="zh-CN"/>
        </w:rPr>
        <w:t xml:space="preserve">9．响应文件语言及度量衡单位</w:t>
      </w:r>
      <w:bookmarkEnd w:id="103"/>
      <w:r>
        <w:rPr>
          <w:highlight w:val="none"/>
        </w:rPr>
      </w:r>
      <w:bookmarkEnd w:id="104"/>
      <w:r>
        <w:rPr>
          <w:highlight w:val="none"/>
        </w:rPr>
      </w:r>
      <w:bookmarkEnd w:id="105"/>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rPr>
          <w:highlight w:val="none"/>
        </w:rPr>
      </w:r>
      <w:r/>
    </w:p>
    <w:p>
      <w:pPr>
        <w:pStyle w:val="1004"/>
        <w:ind w:firstLine="446"/>
        <w:keepLines w:val="0"/>
        <w:keepNext w:val="0"/>
        <w:spacing w:before="200" w:after="200" w:line="360" w:lineRule="auto"/>
        <w:rPr>
          <w:rFonts w:hint="eastAsia" w:ascii="宋体" w:hAnsi="宋体"/>
          <w:color w:val="auto"/>
          <w:sz w:val="30"/>
          <w:highlight w:val="none"/>
        </w:rPr>
      </w:pPr>
      <w:r>
        <w:rPr>
          <w:highlight w:val="none"/>
        </w:rPr>
      </w:r>
      <w:bookmarkStart w:id="106" w:name="_Toc256000023"/>
      <w:r>
        <w:rPr>
          <w:highlight w:val="none"/>
        </w:rPr>
      </w:r>
      <w:bookmarkStart w:id="107" w:name="_Toc73364866"/>
      <w:r>
        <w:rPr>
          <w:highlight w:val="none"/>
        </w:rPr>
      </w:r>
      <w:bookmarkStart w:id="108" w:name="_Toc73365479"/>
      <w:r>
        <w:rPr>
          <w:rFonts w:hint="eastAsia" w:ascii="宋体" w:hAnsi="宋体"/>
          <w:color w:val="auto"/>
          <w:sz w:val="30"/>
          <w:highlight w:val="none"/>
          <w:lang w:eastAsia="zh-CN"/>
        </w:rPr>
        <w:t xml:space="preserve">10．响应文件的构成</w:t>
      </w:r>
      <w:bookmarkEnd w:id="106"/>
      <w:r>
        <w:rPr>
          <w:highlight w:val="none"/>
        </w:rPr>
      </w:r>
      <w:bookmarkEnd w:id="107"/>
      <w:r>
        <w:rPr>
          <w:highlight w:val="none"/>
        </w:rPr>
      </w:r>
      <w:bookmarkEnd w:id="108"/>
      <w:r>
        <w:rPr>
          <w:highlight w:val="none"/>
        </w:rPr>
      </w:r>
      <w:r/>
    </w:p>
    <w:p>
      <w:pPr>
        <w:pStyle w:val="1054"/>
        <w:ind w:firstLine="425"/>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rPr>
          <w:highlight w:val="none"/>
        </w:rPr>
      </w:r>
      <w:r/>
    </w:p>
    <w:p>
      <w:pPr>
        <w:pStyle w:val="1054"/>
        <w:ind w:firstLine="425"/>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rPr>
          <w:highlight w:val="none"/>
        </w:rPr>
      </w:r>
      <w:r/>
    </w:p>
    <w:p>
      <w:pPr>
        <w:pStyle w:val="1054"/>
        <w:ind w:firstLine="425"/>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rPr>
          <w:highlight w:val="none"/>
        </w:rPr>
      </w:r>
      <w:r/>
    </w:p>
    <w:p>
      <w:pPr>
        <w:pStyle w:val="1054"/>
        <w:ind w:firstLine="425"/>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10.4技术部分系指供应商提交的能够证明其提供的工程（货物或服务）符合磋商文件规定的文件。</w:t>
      </w:r>
      <w:r>
        <w:rPr>
          <w:highlight w:val="none"/>
        </w:rPr>
      </w:r>
      <w:r/>
    </w:p>
    <w:p>
      <w:pPr>
        <w:pStyle w:val="1054"/>
        <w:ind w:firstLine="425"/>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10.5具体填写格式详见磋商文件第六部分。</w:t>
      </w:r>
      <w:r>
        <w:rPr>
          <w:highlight w:val="none"/>
        </w:rPr>
      </w:r>
      <w:r/>
    </w:p>
    <w:p>
      <w:pPr>
        <w:pStyle w:val="1004"/>
        <w:ind w:firstLine="446"/>
        <w:keepLines w:val="0"/>
        <w:keepNext w:val="0"/>
        <w:spacing w:before="200" w:after="200" w:line="360" w:lineRule="auto"/>
        <w:rPr>
          <w:rFonts w:hint="eastAsia" w:ascii="宋体" w:hAnsi="宋体"/>
          <w:color w:val="auto"/>
          <w:sz w:val="30"/>
          <w:highlight w:val="none"/>
        </w:rPr>
      </w:pPr>
      <w:r>
        <w:rPr>
          <w:highlight w:val="none"/>
        </w:rPr>
      </w:r>
      <w:bookmarkStart w:id="109" w:name="_Toc73365480"/>
      <w:r>
        <w:rPr>
          <w:highlight w:val="none"/>
        </w:rPr>
      </w:r>
      <w:bookmarkStart w:id="110" w:name="_Toc73364867"/>
      <w:r>
        <w:rPr>
          <w:highlight w:val="none"/>
        </w:rPr>
      </w:r>
      <w:bookmarkStart w:id="111" w:name="_Toc256000024"/>
      <w:r>
        <w:rPr>
          <w:rFonts w:hint="eastAsia" w:ascii="宋体" w:hAnsi="宋体"/>
          <w:color w:val="auto"/>
          <w:sz w:val="30"/>
          <w:highlight w:val="none"/>
          <w:lang w:eastAsia="zh-CN"/>
        </w:rPr>
        <w:t xml:space="preserve">11．响应文件的编写</w:t>
      </w:r>
      <w:bookmarkEnd w:id="109"/>
      <w:r>
        <w:rPr>
          <w:highlight w:val="none"/>
        </w:rPr>
      </w:r>
      <w:bookmarkEnd w:id="110"/>
      <w:r>
        <w:rPr>
          <w:highlight w:val="none"/>
        </w:rPr>
      </w:r>
      <w:bookmarkEnd w:id="111"/>
      <w:r>
        <w:rPr>
          <w:highlight w:val="none"/>
        </w:rPr>
      </w:r>
      <w:r/>
    </w:p>
    <w:p>
      <w:pPr>
        <w:ind w:left="1"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rPr>
          <w:highlight w:val="none"/>
        </w:rPr>
      </w:r>
      <w:r/>
    </w:p>
    <w:p>
      <w:pPr>
        <w:ind w:left="1"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rPr>
          <w:highlight w:val="none"/>
        </w:rPr>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rPr>
          <w:highlight w:val="none"/>
        </w:rPr>
      </w:r>
      <w:r/>
    </w:p>
    <w:p>
      <w:pPr>
        <w:ind w:left="1"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12" w:name="_Toc73365481"/>
      <w:r>
        <w:rPr>
          <w:highlight w:val="none"/>
        </w:rPr>
      </w:r>
      <w:bookmarkStart w:id="113" w:name="_Toc256000025"/>
      <w:r>
        <w:rPr>
          <w:highlight w:val="none"/>
        </w:rPr>
      </w:r>
      <w:bookmarkStart w:id="114" w:name="_Toc73364868"/>
      <w:r>
        <w:rPr>
          <w:rFonts w:hint="eastAsia" w:ascii="宋体" w:hAnsi="宋体"/>
          <w:color w:val="auto"/>
          <w:sz w:val="30"/>
          <w:highlight w:val="none"/>
          <w:lang w:eastAsia="zh-CN"/>
        </w:rPr>
        <w:t xml:space="preserve">12．响应报价</w:t>
      </w:r>
      <w:bookmarkEnd w:id="112"/>
      <w:r>
        <w:rPr>
          <w:highlight w:val="none"/>
        </w:rPr>
      </w:r>
      <w:bookmarkEnd w:id="113"/>
      <w:r>
        <w:rPr>
          <w:highlight w:val="none"/>
        </w:rPr>
      </w:r>
      <w:bookmarkEnd w:id="114"/>
      <w:r>
        <w:rPr>
          <w:rFonts w:ascii="宋体" w:hAnsi="宋体"/>
          <w:color w:val="auto"/>
          <w:sz w:val="30"/>
          <w:highlight w:val="none"/>
          <w:lang w:eastAsia="zh-CN"/>
        </w:rPr>
        <w:tab/>
      </w:r>
      <w:r>
        <w:rPr>
          <w:highlight w:val="none"/>
        </w:rPr>
      </w:r>
      <w:r/>
    </w:p>
    <w:p>
      <w:pPr>
        <w:ind w:left="2" w:firstLine="480"/>
        <w:spacing w:line="360" w:lineRule="auto"/>
        <w:rPr>
          <w:rFonts w:hint="eastAsia" w:ascii="宋体" w:hAnsi="宋体"/>
          <w:color w:val="auto"/>
          <w:sz w:val="24"/>
          <w:highlight w:val="none"/>
        </w:rPr>
      </w:pPr>
      <w:r>
        <w:rPr>
          <w:highlight w:val="none"/>
        </w:rPr>
      </w:r>
      <w:bookmarkStart w:id="115" w:name="EBdf1224c9869e4463a955117a0de4c3b6"/>
      <w:r>
        <w:rPr>
          <w:rFonts w:hint="eastAsia" w:ascii="宋体" w:hAnsi="宋体"/>
          <w:color w:val="auto"/>
          <w:sz w:val="24"/>
          <w:highlight w:val="none"/>
        </w:rPr>
        <w:t xml:space="preserve">12.1磋商应以人民币报价（保留至小数点后2位，四舍五入）。 </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 </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 </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 供应商不得将以下不可竞争费用降低标准计取： </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 </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 </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 </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12.7在磋商过程中未对磋商内容作出实质性变更、修改的情况下，如最后报价超过首轮报价，则最后报价无效，以其首轮报价作为最终报价。</w:t>
      </w:r>
      <w:r>
        <w:rPr>
          <w:highlight w:val="none"/>
        </w:rPr>
      </w:r>
      <w:r/>
    </w:p>
    <w:p>
      <w:pPr>
        <w:ind w:left="2" w:firstLine="480"/>
        <w:spacing w:line="360" w:lineRule="auto"/>
        <w:rPr>
          <w:rFonts w:hint="eastAsia" w:ascii="宋体" w:hAnsi="宋体"/>
          <w:b/>
          <w:color w:val="auto"/>
          <w:sz w:val="24"/>
          <w:highlight w:val="none"/>
          <w:u w:val="single"/>
        </w:rPr>
      </w:pPr>
      <w:r>
        <w:rPr>
          <w:rFonts w:hint="eastAsia" w:ascii="宋体" w:hAnsi="宋体"/>
          <w:color w:val="auto"/>
          <w:sz w:val="24"/>
          <w:highlight w:val="none"/>
        </w:rPr>
        <w:t xml:space="preserve">12.8</w:t>
      </w:r>
      <w:r>
        <w:rPr>
          <w:rFonts w:hint="eastAsia" w:ascii="宋体" w:hAnsi="宋体"/>
          <w:b/>
          <w:color w:val="auto"/>
          <w:sz w:val="24"/>
          <w:highlight w:val="none"/>
          <w:u w:val="single"/>
        </w:rPr>
        <w:t xml:space="preserve">供应商在开标流程完成后供应商未在磋商小组规定的时间（自发起20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12.9最低磋商报价不能作为成交的唯一保证。 </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12.10磋商最后报价即为合同签约价。</w:t>
      </w:r>
      <w:bookmarkEnd w:id="115"/>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16" w:name="_Toc73364869"/>
      <w:r>
        <w:rPr>
          <w:highlight w:val="none"/>
        </w:rPr>
      </w:r>
      <w:bookmarkStart w:id="117" w:name="_Toc73365482"/>
      <w:r>
        <w:rPr>
          <w:highlight w:val="none"/>
        </w:rPr>
      </w:r>
      <w:bookmarkStart w:id="118" w:name="_Toc256000026"/>
      <w:r>
        <w:rPr>
          <w:rFonts w:hint="eastAsia" w:ascii="宋体" w:hAnsi="宋体"/>
          <w:color w:val="auto"/>
          <w:sz w:val="30"/>
          <w:highlight w:val="none"/>
          <w:lang w:eastAsia="zh-CN"/>
        </w:rPr>
        <w:t xml:space="preserve">13．磋商保证金</w:t>
      </w:r>
      <w:bookmarkEnd w:id="116"/>
      <w:r>
        <w:rPr>
          <w:highlight w:val="none"/>
        </w:rPr>
      </w:r>
      <w:bookmarkEnd w:id="117"/>
      <w:r>
        <w:rPr>
          <w:highlight w:val="none"/>
        </w:rPr>
      </w:r>
      <w:bookmarkEnd w:id="118"/>
      <w:r>
        <w:rPr>
          <w:highlight w:val="none"/>
        </w:rPr>
      </w:r>
      <w:r/>
    </w:p>
    <w:p>
      <w:pPr>
        <w:ind w:firstLine="480"/>
        <w:spacing w:line="360" w:lineRule="auto"/>
        <w:rPr>
          <w:rFonts w:hint="eastAsia" w:ascii="宋体" w:hAnsi="宋体"/>
          <w:color w:val="auto"/>
          <w:sz w:val="24"/>
          <w:highlight w:val="none"/>
        </w:rPr>
      </w:pPr>
      <w:r>
        <w:rPr>
          <w:highlight w:val="none"/>
        </w:rPr>
      </w:r>
      <w:bookmarkStart w:id="119" w:name="EBffce9a1083124a32b81da965a376b38b"/>
      <w:r>
        <w:rPr>
          <w:rFonts w:hint="eastAsia" w:ascii="宋体" w:hAnsi="宋体"/>
          <w:color w:val="auto"/>
          <w:sz w:val="24"/>
          <w:highlight w:val="none"/>
        </w:rPr>
        <w:t xml:space="preserve">13.1本项目不收磋商保证金。</w:t>
      </w:r>
      <w:bookmarkEnd w:id="119"/>
      <w:r>
        <w:rPr>
          <w:rFonts w:ascii="宋体" w:hAnsi="宋体"/>
          <w:color w:val="auto"/>
          <w:sz w:val="24"/>
          <w:highlight w:val="none"/>
        </w:rPr>
        <w:t xml:space="preserve"> </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20" w:name="_Toc73365483"/>
      <w:r>
        <w:rPr>
          <w:highlight w:val="none"/>
        </w:rPr>
      </w:r>
      <w:bookmarkStart w:id="121" w:name="_Toc256000027"/>
      <w:r>
        <w:rPr>
          <w:highlight w:val="none"/>
        </w:rPr>
      </w:r>
      <w:bookmarkStart w:id="122" w:name="_Toc73364870"/>
      <w:r>
        <w:rPr>
          <w:rFonts w:hint="eastAsia" w:ascii="宋体" w:hAnsi="宋体"/>
          <w:color w:val="auto"/>
          <w:sz w:val="30"/>
          <w:highlight w:val="none"/>
          <w:lang w:eastAsia="zh-CN"/>
        </w:rPr>
        <w:t xml:space="preserve">14．磋商响应有效期</w:t>
      </w:r>
      <w:bookmarkEnd w:id="120"/>
      <w:r>
        <w:rPr>
          <w:highlight w:val="none"/>
        </w:rPr>
      </w:r>
      <w:bookmarkEnd w:id="121"/>
      <w:r>
        <w:rPr>
          <w:highlight w:val="none"/>
        </w:rPr>
      </w:r>
      <w:bookmarkEnd w:id="122"/>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23" w:name="EBe5331d116298431aa240d61d189e1ecb"/>
      <w:r>
        <w:rPr>
          <w:rFonts w:hint="eastAsia" w:ascii="宋体" w:hAnsi="宋体"/>
          <w:b/>
          <w:color w:val="auto"/>
          <w:sz w:val="24"/>
          <w:highlight w:val="none"/>
        </w:rPr>
        <w:t xml:space="preserve">90天</w:t>
      </w:r>
      <w:bookmarkEnd w:id="123"/>
      <w:r>
        <w:rPr>
          <w:rFonts w:hint="eastAsia" w:ascii="宋体" w:hAnsi="宋体"/>
          <w:color w:val="auto"/>
          <w:sz w:val="24"/>
          <w:highlight w:val="none"/>
        </w:rPr>
        <w:t xml:space="preserve">内有效。供应商一旦领取了本磋商文件并参加磋商，即被认为接受了磋商有效期的约定。</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24" w:name="_Toc73364871"/>
      <w:r>
        <w:rPr>
          <w:highlight w:val="none"/>
        </w:rPr>
      </w:r>
      <w:bookmarkStart w:id="125" w:name="_Toc256000028"/>
      <w:r>
        <w:rPr>
          <w:highlight w:val="none"/>
        </w:rPr>
      </w:r>
      <w:bookmarkStart w:id="126" w:name="_Toc73365484"/>
      <w:r>
        <w:rPr>
          <w:rFonts w:hint="eastAsia" w:ascii="宋体" w:hAnsi="宋体"/>
          <w:color w:val="auto"/>
          <w:sz w:val="30"/>
          <w:highlight w:val="none"/>
          <w:lang w:eastAsia="zh-CN"/>
        </w:rPr>
        <w:t xml:space="preserve">15. 响应文件的式样和签署</w:t>
      </w:r>
      <w:bookmarkEnd w:id="124"/>
      <w:r>
        <w:rPr>
          <w:highlight w:val="none"/>
        </w:rPr>
      </w:r>
      <w:bookmarkEnd w:id="125"/>
      <w:r>
        <w:rPr>
          <w:highlight w:val="none"/>
        </w:rPr>
      </w:r>
      <w:bookmarkEnd w:id="126"/>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27" w:name="_Toc256000029"/>
      <w:r>
        <w:rPr>
          <w:highlight w:val="none"/>
        </w:rPr>
      </w:r>
      <w:bookmarkStart w:id="128" w:name="_Toc73365485"/>
      <w:r>
        <w:rPr>
          <w:highlight w:val="none"/>
        </w:rPr>
      </w:r>
      <w:bookmarkStart w:id="129" w:name="_Toc73364872"/>
      <w:r>
        <w:rPr>
          <w:rFonts w:hint="eastAsia" w:ascii="宋体" w:hAnsi="宋体"/>
          <w:color w:val="auto"/>
          <w:sz w:val="30"/>
          <w:highlight w:val="none"/>
          <w:lang w:eastAsia="zh-CN"/>
        </w:rPr>
        <w:t xml:space="preserve">16．响应文件的提交</w:t>
      </w:r>
      <w:bookmarkEnd w:id="127"/>
      <w:r>
        <w:rPr>
          <w:highlight w:val="none"/>
        </w:rPr>
      </w:r>
      <w:bookmarkEnd w:id="128"/>
      <w:r>
        <w:rPr>
          <w:highlight w:val="none"/>
        </w:rPr>
      </w:r>
      <w:bookmarkEnd w:id="129"/>
      <w:r>
        <w:rPr>
          <w:highlight w:val="none"/>
        </w:rPr>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16.1响应文件提交</w:t>
      </w:r>
      <w:r>
        <w:rPr>
          <w:highlight w:val="none"/>
        </w:rPr>
      </w:r>
      <w:r/>
    </w:p>
    <w:p>
      <w:pPr>
        <w:ind w:left="1" w:firstLine="480"/>
        <w:spacing w:line="360" w:lineRule="auto"/>
        <w:rPr>
          <w:rFonts w:hint="eastAsia"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rPr>
          <w:highlight w:val="none"/>
        </w:rPr>
      </w:r>
      <w:r/>
    </w:p>
    <w:p>
      <w:pPr>
        <w:ind w:left="1" w:firstLine="480"/>
        <w:spacing w:line="360" w:lineRule="auto"/>
        <w:rPr>
          <w:rFonts w:hint="eastAsia"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rPr>
          <w:highlight w:val="none"/>
        </w:rPr>
      </w:r>
      <w:r/>
    </w:p>
    <w:p>
      <w:pPr>
        <w:ind w:firstLine="480"/>
        <w:spacing w:line="360" w:lineRule="auto"/>
        <w:rPr>
          <w:rFonts w:hint="eastAsia"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rPr>
          <w:highlight w:val="none"/>
        </w:rPr>
      </w:r>
      <w:r/>
    </w:p>
    <w:p>
      <w:pPr>
        <w:ind w:firstLine="480"/>
        <w:spacing w:line="360" w:lineRule="auto"/>
        <w:rPr>
          <w:rFonts w:hint="eastAsia"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30" w:name="_Toc73365486"/>
      <w:r>
        <w:rPr>
          <w:highlight w:val="none"/>
        </w:rPr>
      </w:r>
      <w:bookmarkStart w:id="131" w:name="_Toc256000030"/>
      <w:r>
        <w:rPr>
          <w:highlight w:val="none"/>
        </w:rPr>
      </w:r>
      <w:bookmarkStart w:id="132" w:name="_Toc73364873"/>
      <w:r>
        <w:rPr>
          <w:rFonts w:hint="eastAsia" w:ascii="宋体" w:hAnsi="宋体"/>
          <w:color w:val="auto"/>
          <w:sz w:val="30"/>
          <w:highlight w:val="none"/>
          <w:lang w:eastAsia="zh-CN"/>
        </w:rPr>
        <w:t xml:space="preserve">17．响应文件的补充、修改或者撤回</w:t>
      </w:r>
      <w:bookmarkEnd w:id="130"/>
      <w:r>
        <w:rPr>
          <w:highlight w:val="none"/>
        </w:rPr>
      </w:r>
      <w:bookmarkEnd w:id="131"/>
      <w:r>
        <w:rPr>
          <w:highlight w:val="none"/>
        </w:rPr>
      </w:r>
      <w:bookmarkEnd w:id="132"/>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17.4在提交截止时间至磋商文件中规定的磋商有效期满之间，供应商不得撤回其响应。</w:t>
      </w:r>
      <w:r>
        <w:rPr>
          <w:highlight w:val="none"/>
        </w:rPr>
      </w:r>
      <w:r/>
    </w:p>
    <w:p>
      <w:pPr>
        <w:rPr>
          <w:color w:val="auto"/>
          <w:highlight w:val="none"/>
        </w:rPr>
      </w:pPr>
      <w:r>
        <w:rPr>
          <w:highlight w:val="none"/>
        </w:rPr>
      </w:r>
      <w:bookmarkStart w:id="133" w:name="EB7e4f79ed53944800a53d98770de9ecd4"/>
      <w:r>
        <w:rPr>
          <w:rFonts w:hint="eastAsia"/>
          <w:color w:val="auto"/>
          <w:sz w:val="20"/>
          <w:highlight w:val="none"/>
        </w:rPr>
        <w:t xml:space="preserve"> </w:t>
      </w:r>
      <w:bookmarkEnd w:id="133"/>
      <w:r>
        <w:rPr>
          <w:highlight w:val="none"/>
        </w:rPr>
      </w:r>
      <w:r/>
    </w:p>
    <w:p>
      <w:pPr>
        <w:pStyle w:val="1002"/>
        <w:rPr>
          <w:rFonts w:hint="eastAsia" w:ascii="宋体" w:hAnsi="宋体" w:eastAsia="宋体"/>
          <w:color w:val="auto"/>
          <w:sz w:val="32"/>
          <w:highlight w:val="none"/>
        </w:rPr>
      </w:pPr>
      <w:r>
        <w:rPr>
          <w:highlight w:val="none"/>
        </w:rPr>
      </w:r>
      <w:bookmarkStart w:id="134" w:name="_Toc256000031"/>
      <w:r>
        <w:rPr>
          <w:highlight w:val="none"/>
        </w:rPr>
      </w:r>
      <w:bookmarkStart w:id="135" w:name="_Toc73364874"/>
      <w:r>
        <w:rPr>
          <w:highlight w:val="none"/>
        </w:rPr>
      </w:r>
      <w:bookmarkStart w:id="136" w:name="_Toc73365487"/>
      <w:r>
        <w:rPr>
          <w:rFonts w:hint="eastAsia" w:ascii="宋体" w:hAnsi="宋体" w:eastAsia="宋体"/>
          <w:color w:val="auto"/>
          <w:sz w:val="32"/>
          <w:highlight w:val="none"/>
          <w:lang w:eastAsia="zh-CN"/>
        </w:rPr>
        <w:t xml:space="preserve">四、磋商与评审</w:t>
      </w:r>
      <w:bookmarkEnd w:id="134"/>
      <w:r>
        <w:rPr>
          <w:highlight w:val="none"/>
        </w:rPr>
      </w:r>
      <w:bookmarkEnd w:id="135"/>
      <w:r>
        <w:rPr>
          <w:highlight w:val="none"/>
        </w:rPr>
      </w:r>
      <w:bookmarkEnd w:id="136"/>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37" w:name="_Toc73365488"/>
      <w:r>
        <w:rPr>
          <w:highlight w:val="none"/>
        </w:rPr>
      </w:r>
      <w:bookmarkStart w:id="138" w:name="_Toc256000032"/>
      <w:r>
        <w:rPr>
          <w:highlight w:val="none"/>
        </w:rPr>
      </w:r>
      <w:bookmarkStart w:id="139" w:name="_Toc73364875"/>
      <w:r>
        <w:rPr>
          <w:rFonts w:hint="eastAsia" w:ascii="宋体" w:hAnsi="宋体"/>
          <w:color w:val="auto"/>
          <w:sz w:val="30"/>
          <w:highlight w:val="none"/>
          <w:lang w:eastAsia="zh-CN"/>
        </w:rPr>
        <w:t xml:space="preserve">18．磋商</w:t>
      </w:r>
      <w:bookmarkEnd w:id="137"/>
      <w:r>
        <w:rPr>
          <w:highlight w:val="none"/>
        </w:rPr>
      </w:r>
      <w:bookmarkEnd w:id="138"/>
      <w:r>
        <w:rPr>
          <w:highlight w:val="none"/>
        </w:rPr>
      </w:r>
      <w:bookmarkEnd w:id="139"/>
      <w:r>
        <w:rPr>
          <w:highlight w:val="none"/>
        </w:rPr>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rPr>
          <w:highlight w:val="none"/>
        </w:rPr>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rPr>
          <w:highlight w:val="none"/>
        </w:rPr>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140" w:name="EBaf33e81756a940b58c69ffadb3ca2432"/>
      <w:r>
        <w:rPr>
          <w:rFonts w:hint="eastAsia" w:ascii="宋体" w:hAnsi="宋体"/>
          <w:b/>
          <w:color w:val="auto"/>
          <w:sz w:val="24"/>
          <w:highlight w:val="none"/>
        </w:rPr>
        <w:t xml:space="preserve">30分钟</w:t>
      </w:r>
      <w:bookmarkEnd w:id="140"/>
      <w:r>
        <w:rPr>
          <w:rFonts w:hint="eastAsia" w:ascii="宋体" w:hAnsi="宋体"/>
          <w:b/>
          <w:color w:val="auto"/>
          <w:sz w:val="24"/>
          <w:highlight w:val="none"/>
        </w:rPr>
        <w:t xml:space="preserve">内完成。解密时，供应商必须使用与制作响应文件时同一数字认证证书对响应文件进行解密，否则解密将会失败。</w:t>
      </w:r>
      <w:r>
        <w:rPr>
          <w:highlight w:val="none"/>
        </w:rPr>
      </w:r>
      <w:r/>
    </w:p>
    <w:p>
      <w:pPr>
        <w:ind w:left="1"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rPr>
          <w:highlight w:val="none"/>
        </w:rPr>
      </w:r>
      <w:r/>
    </w:p>
    <w:p>
      <w:pPr>
        <w:ind w:left="1"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rPr>
          <w:highlight w:val="none"/>
        </w:rPr>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18.6供应商须配合磋商工作，否则自行承担后果。</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41" w:name="_Toc73365489"/>
      <w:r>
        <w:rPr>
          <w:highlight w:val="none"/>
        </w:rPr>
      </w:r>
      <w:bookmarkStart w:id="142" w:name="_Toc256000033"/>
      <w:r>
        <w:rPr>
          <w:highlight w:val="none"/>
        </w:rPr>
      </w:r>
      <w:bookmarkStart w:id="143" w:name="_Toc73364876"/>
      <w:r>
        <w:rPr>
          <w:rFonts w:hint="eastAsia" w:ascii="宋体" w:hAnsi="宋体"/>
          <w:color w:val="auto"/>
          <w:sz w:val="30"/>
          <w:highlight w:val="none"/>
          <w:lang w:eastAsia="zh-CN"/>
        </w:rPr>
        <w:t xml:space="preserve">19．磋商小组组成</w:t>
      </w:r>
      <w:bookmarkEnd w:id="141"/>
      <w:r>
        <w:rPr>
          <w:highlight w:val="none"/>
        </w:rPr>
      </w:r>
      <w:bookmarkEnd w:id="142"/>
      <w:r>
        <w:rPr>
          <w:highlight w:val="none"/>
        </w:rPr>
      </w:r>
      <w:bookmarkEnd w:id="143"/>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44" w:name="_Toc73364877"/>
      <w:r>
        <w:rPr>
          <w:highlight w:val="none"/>
        </w:rPr>
      </w:r>
      <w:bookmarkStart w:id="145" w:name="_Toc256000034"/>
      <w:r>
        <w:rPr>
          <w:highlight w:val="none"/>
        </w:rPr>
      </w:r>
      <w:bookmarkStart w:id="146" w:name="_Toc73365490"/>
      <w:r>
        <w:rPr>
          <w:rFonts w:hint="eastAsia" w:ascii="宋体" w:hAnsi="宋体"/>
          <w:color w:val="auto"/>
          <w:sz w:val="30"/>
          <w:highlight w:val="none"/>
          <w:lang w:eastAsia="zh-CN"/>
        </w:rPr>
        <w:t xml:space="preserve">20．无效磋商的情形</w:t>
      </w:r>
      <w:bookmarkEnd w:id="144"/>
      <w:r>
        <w:rPr>
          <w:highlight w:val="none"/>
        </w:rPr>
      </w:r>
      <w:bookmarkEnd w:id="145"/>
      <w:r>
        <w:rPr>
          <w:highlight w:val="none"/>
        </w:rPr>
      </w:r>
      <w:bookmarkEnd w:id="146"/>
      <w:r>
        <w:rPr>
          <w:highlight w:val="none"/>
        </w:rPr>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供应商存在下列情况之一的，其磋商无效：</w:t>
      </w:r>
      <w:r>
        <w:rPr>
          <w:highlight w:val="none"/>
        </w:rPr>
      </w:r>
      <w:r/>
    </w:p>
    <w:p>
      <w:pPr>
        <w:ind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（1）响应文件未按磋商文件要求签署、盖章的；</w:t>
      </w:r>
      <w:r>
        <w:rPr>
          <w:highlight w:val="none"/>
        </w:rPr>
      </w:r>
      <w:r/>
    </w:p>
    <w:p>
      <w:pPr>
        <w:ind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（2）不具备磋商文件中规定的资格要求的；</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（3）在磋商过程中未对磋商内容作出实质性变更、修改的情况下，首轮报价或最终报价超过磋商文件中规定的预算金额或最高限价的；</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（4）供应商未在磋商小组规定的时间内完成最后报价的视为放弃报价，自动退出此次磋商，其响应按无效响应处理，不参与后续的项目流程。</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（5）响应文件含有采购人不能接受的附加条件的;</w:t>
      </w:r>
      <w:r>
        <w:rPr>
          <w:highlight w:val="none"/>
        </w:rPr>
      </w:r>
      <w:r/>
    </w:p>
    <w:p>
      <w:pPr>
        <w:ind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（6）不符合法律、法规和磋商文件规定的其它实质性条款（须经磋商小组半数以上同意）：</w:t>
      </w:r>
      <w:r>
        <w:rPr>
          <w:highlight w:val="none"/>
        </w:rPr>
      </w:r>
      <w:r/>
    </w:p>
    <w:p>
      <w:pPr>
        <w:ind w:left="1" w:firstLine="482"/>
        <w:spacing w:line="360" w:lineRule="auto"/>
        <w:rPr>
          <w:rFonts w:hint="eastAsia" w:ascii="宋体" w:hAnsi="宋体"/>
          <w:b/>
          <w:color w:val="auto"/>
          <w:sz w:val="24"/>
          <w:highlight w:val="none"/>
          <w:u w:val="single"/>
        </w:rPr>
      </w:pPr>
      <w:r>
        <w:rPr>
          <w:highlight w:val="none"/>
        </w:rPr>
      </w:r>
      <w:bookmarkStart w:id="147" w:name="EB1a6133a9061749489c10f63f90f17fb6"/>
      <w:r>
        <w:rPr>
          <w:rFonts w:hint="eastAsia" w:ascii="宋体" w:hAnsi="宋体"/>
          <w:b/>
          <w:color w:val="auto"/>
          <w:sz w:val="24"/>
          <w:highlight w:val="none"/>
          <w:u w:val="single"/>
        </w:rPr>
        <w:t xml:space="preserve">（7）如有委托代理人，未提供供应商为其缴纳社保证明材料的； </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（8）供应商未通过符合性审查的； </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（9）单位负责人为同一人或者存在直接控股、管理关系的不同供应商参加同一合同项下的政府采购活动的； </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（10）评标委员会认为供应商的报价明显低于其他通过符合性审查供应商的报价，有可能影响工程（货物或服务）质量 或者不能诚信履约，且不能提供相关材料证明其报价合理性的； </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（11）供应商被“信用中国”网站（www.creditchina.gov.cn）、中国政府采购网（www.ccgp.gov.cn）列入失信被执行人、重大税收违法案件当事人名单、政府采购严重违法失信行为记录名单的； </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（12）技术部分负偏离程度过大或过多，经评委会认定影响采购人实际使用的； </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（13）供应商存在串通磋商情形的； </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（14）供应商在报价时采用选择性报价的； </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（15）由于供应商原因，未在规定时间内对响应文件进行有效解密的； </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（16）响应文件中提供了虚假或失实资料的； </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（17）《中小企业声明函》填写不实的</w:t>
      </w:r>
      <w:bookmarkEnd w:id="147"/>
      <w:r>
        <w:rPr>
          <w:rFonts w:hint="eastAsia" w:ascii="宋体" w:hAnsi="宋体"/>
          <w:b/>
          <w:color w:val="auto"/>
          <w:sz w:val="24"/>
          <w:highlight w:val="none"/>
          <w:u w:val="single"/>
        </w:rPr>
        <w:t xml:space="preserve">。</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（18）供应商须按照清单的编制说明进行填写报价，否则视为无效响应。</w:t>
      </w:r>
      <w:r>
        <w:rPr>
          <w:highlight w:val="none"/>
        </w:rPr>
      </w:r>
      <w:r/>
    </w:p>
    <w:p>
      <w:pPr>
        <w:ind w:left="1" w:firstLine="482"/>
        <w:spacing w:line="360" w:lineRule="auto"/>
        <w:rPr>
          <w:rFonts w:hint="eastAsia" w:ascii="宋体" w:hAnsi="宋体"/>
          <w:b/>
          <w:color w:val="auto"/>
          <w:sz w:val="24"/>
          <w:highlight w:val="none"/>
          <w:u w:val="single"/>
        </w:rPr>
      </w:pPr>
      <w:r>
        <w:rPr>
          <w:rFonts w:hint="eastAsia" w:ascii="宋体" w:hAnsi="宋体"/>
          <w:b/>
          <w:color w:val="auto"/>
          <w:sz w:val="24"/>
          <w:highlight w:val="none"/>
          <w:u w:val="single"/>
        </w:rPr>
        <w:t xml:space="preserve">（</w:t>
      </w:r>
      <w:r>
        <w:rPr>
          <w:rFonts w:ascii="宋体" w:hAnsi="宋体"/>
          <w:b/>
          <w:color w:val="auto"/>
          <w:sz w:val="24"/>
          <w:highlight w:val="none"/>
          <w:u w:val="single"/>
        </w:rPr>
        <w:t xml:space="preserve">1</w:t>
      </w:r>
      <w:r>
        <w:rPr>
          <w:rFonts w:hint="eastAsia" w:ascii="宋体" w:hAnsi="宋体"/>
          <w:b/>
          <w:color w:val="auto"/>
          <w:sz w:val="24"/>
          <w:highlight w:val="none"/>
          <w:u w:val="single"/>
        </w:rPr>
        <w:t xml:space="preserve">9）法律、法规、规章（适用本市的）及省级以上规范性文件（适用本市的）规定的其他无效情形。</w:t>
      </w:r>
      <w:r>
        <w:rPr>
          <w:highlight w:val="none"/>
        </w:rPr>
      </w:r>
      <w:r/>
    </w:p>
    <w:p>
      <w:pPr>
        <w:pStyle w:val="811"/>
        <w:rPr>
          <w:color w:val="auto"/>
          <w:highlight w:val="none"/>
        </w:rPr>
      </w:pPr>
      <w:r>
        <w:rPr>
          <w:color w:val="auto"/>
          <w:highlight w:val="none"/>
        </w:rPr>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48" w:name="_Toc73365491"/>
      <w:r>
        <w:rPr>
          <w:highlight w:val="none"/>
        </w:rPr>
      </w:r>
      <w:bookmarkStart w:id="149" w:name="_Toc256000035"/>
      <w:r>
        <w:rPr>
          <w:highlight w:val="none"/>
        </w:rPr>
      </w:r>
      <w:bookmarkStart w:id="150" w:name="_Toc73364878"/>
      <w:r>
        <w:rPr>
          <w:rFonts w:hint="eastAsia" w:ascii="宋体" w:hAnsi="宋体"/>
          <w:color w:val="auto"/>
          <w:sz w:val="30"/>
          <w:highlight w:val="none"/>
          <w:lang w:eastAsia="zh-CN"/>
        </w:rPr>
        <w:t xml:space="preserve">21．串通磋商的情形</w:t>
      </w:r>
      <w:bookmarkEnd w:id="148"/>
      <w:r>
        <w:rPr>
          <w:highlight w:val="none"/>
        </w:rPr>
      </w:r>
      <w:bookmarkEnd w:id="149"/>
      <w:r>
        <w:rPr>
          <w:highlight w:val="none"/>
        </w:rPr>
      </w:r>
      <w:bookmarkEnd w:id="150"/>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（5）不同供应商的响应文件相互混装。</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51" w:name="_Toc73365492"/>
      <w:r>
        <w:rPr>
          <w:highlight w:val="none"/>
        </w:rPr>
      </w:r>
      <w:bookmarkStart w:id="152" w:name="_Toc73364879"/>
      <w:r>
        <w:rPr>
          <w:highlight w:val="none"/>
        </w:rPr>
      </w:r>
      <w:bookmarkStart w:id="153" w:name="_Toc256000036"/>
      <w:r>
        <w:rPr>
          <w:rFonts w:hint="eastAsia" w:ascii="宋体" w:hAnsi="宋体"/>
          <w:color w:val="auto"/>
          <w:sz w:val="30"/>
          <w:highlight w:val="none"/>
          <w:lang w:eastAsia="zh-CN"/>
        </w:rPr>
        <w:t xml:space="preserve">22．响应文件的澄清</w:t>
      </w:r>
      <w:bookmarkEnd w:id="151"/>
      <w:r>
        <w:rPr>
          <w:highlight w:val="none"/>
        </w:rPr>
      </w:r>
      <w:bookmarkEnd w:id="152"/>
      <w:r>
        <w:rPr>
          <w:highlight w:val="none"/>
        </w:rPr>
      </w:r>
      <w:bookmarkEnd w:id="153"/>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54" w:name="_Toc73365493"/>
      <w:r>
        <w:rPr>
          <w:highlight w:val="none"/>
        </w:rPr>
      </w:r>
      <w:bookmarkStart w:id="155" w:name="_Toc73364880"/>
      <w:r>
        <w:rPr>
          <w:highlight w:val="none"/>
        </w:rPr>
      </w:r>
      <w:bookmarkStart w:id="156" w:name="_Toc256000037"/>
      <w:r>
        <w:rPr>
          <w:rFonts w:hint="eastAsia" w:ascii="宋体" w:hAnsi="宋体"/>
          <w:color w:val="auto"/>
          <w:sz w:val="30"/>
          <w:highlight w:val="none"/>
          <w:lang w:eastAsia="zh-CN"/>
        </w:rPr>
        <w:t xml:space="preserve">23．磋商内容</w:t>
      </w:r>
      <w:bookmarkEnd w:id="154"/>
      <w:r>
        <w:rPr>
          <w:highlight w:val="none"/>
        </w:rPr>
      </w:r>
      <w:bookmarkEnd w:id="155"/>
      <w:r>
        <w:rPr>
          <w:highlight w:val="none"/>
        </w:rPr>
      </w:r>
      <w:bookmarkEnd w:id="156"/>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23.1磋商小组与符合条件的供应商就磋商文件中的技术、服务要求及合同草案条款等进行磋商。</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根据磋商文件和磋商情况作出的实质性变动是磋商文件的有效组成部分，磋商小组将及时以书面形式同时通知所有参加磋商的供应商。</w:t>
      </w:r>
      <w:r>
        <w:rPr>
          <w:highlight w:val="none"/>
        </w:rPr>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57" w:name="_Toc73365494"/>
      <w:r>
        <w:rPr>
          <w:highlight w:val="none"/>
        </w:rPr>
      </w:r>
      <w:bookmarkStart w:id="158" w:name="_Toc256000038"/>
      <w:r>
        <w:rPr>
          <w:highlight w:val="none"/>
        </w:rPr>
      </w:r>
      <w:bookmarkStart w:id="159" w:name="_Toc73364881"/>
      <w:r>
        <w:rPr>
          <w:rFonts w:hint="eastAsia" w:ascii="宋体" w:hAnsi="宋体"/>
          <w:color w:val="auto"/>
          <w:sz w:val="30"/>
          <w:highlight w:val="none"/>
          <w:lang w:eastAsia="zh-CN"/>
        </w:rPr>
        <w:t xml:space="preserve">24．最后报价的提交</w:t>
      </w:r>
      <w:bookmarkEnd w:id="157"/>
      <w:r>
        <w:rPr>
          <w:highlight w:val="none"/>
        </w:rPr>
      </w:r>
      <w:bookmarkEnd w:id="158"/>
      <w:r>
        <w:rPr>
          <w:highlight w:val="none"/>
        </w:rPr>
      </w:r>
      <w:bookmarkEnd w:id="159"/>
      <w:r>
        <w:rPr>
          <w:highlight w:val="none"/>
        </w:rPr>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24.1磋商文件能够详细列明采购标的的技术、服务要求的，磋商结束后，磋商小组应当要求所有实质性响应的供应商在规定时间内（20分钟）提交最后总报价和最后明细报价，提交最后报价的供应商不得少于3家。</w:t>
      </w:r>
      <w:r>
        <w:rPr>
          <w:highlight w:val="none"/>
        </w:rPr>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rPr>
          <w:highlight w:val="none"/>
        </w:rPr>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最后报价是供应商响应文件的有效组成部分。符合《政府采购竞争性磋商采购方式管理暂行办法》第三条第四项及本须知第25.2项情形的，提交最后报价的供应商可以为2家。</w:t>
      </w:r>
      <w:r>
        <w:rPr>
          <w:highlight w:val="none"/>
        </w:rPr>
      </w:r>
      <w:r/>
    </w:p>
    <w:p>
      <w:pPr>
        <w:ind w:firstLine="470"/>
        <w:spacing w:line="480" w:lineRule="exact"/>
        <w:rPr>
          <w:rFonts w:hint="eastAsia" w:ascii="宋体" w:hAnsi="宋体" w:cs="宋体"/>
          <w:color w:val="auto"/>
          <w:spacing w:val="-5"/>
          <w:sz w:val="24"/>
          <w:szCs w:val="24"/>
          <w:highlight w:val="none"/>
        </w:rPr>
      </w:pPr>
      <w:r>
        <w:rPr>
          <w:rFonts w:hint="eastAsia" w:ascii="宋体" w:hAnsi="宋体"/>
          <w:bCs/>
          <w:color w:val="auto"/>
          <w:sz w:val="24"/>
          <w:highlight w:val="none"/>
        </w:rPr>
        <w:t xml:space="preserve">最终的综合单价以最后报价与首轮报价的比例，同比例下浮后执行。</w:t>
      </w:r>
      <w:r>
        <w:rPr>
          <w:highlight w:val="none"/>
        </w:rPr>
      </w:r>
      <w:r/>
    </w:p>
    <w:p>
      <w:pPr>
        <w:pStyle w:val="811"/>
        <w:rPr>
          <w:color w:val="auto"/>
          <w:highlight w:val="none"/>
        </w:rPr>
      </w:pPr>
      <w:r>
        <w:rPr>
          <w:color w:val="auto"/>
          <w:highlight w:val="none"/>
        </w:rPr>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60" w:name="_Toc73364882"/>
      <w:r>
        <w:rPr>
          <w:highlight w:val="none"/>
        </w:rPr>
      </w:r>
      <w:bookmarkStart w:id="161" w:name="_Toc256000039"/>
      <w:r>
        <w:rPr>
          <w:highlight w:val="none"/>
        </w:rPr>
      </w:r>
      <w:bookmarkStart w:id="162" w:name="_Toc73365495"/>
      <w:r>
        <w:rPr>
          <w:rFonts w:hint="eastAsia" w:ascii="宋体" w:hAnsi="宋体"/>
          <w:color w:val="auto"/>
          <w:sz w:val="30"/>
          <w:highlight w:val="none"/>
          <w:lang w:eastAsia="zh-CN"/>
        </w:rPr>
        <w:t xml:space="preserve">25．</w:t>
      </w:r>
      <w:r>
        <w:rPr>
          <w:rFonts w:ascii="宋体" w:hAnsi="宋体"/>
          <w:color w:val="auto"/>
          <w:sz w:val="30"/>
          <w:highlight w:val="none"/>
          <w:lang w:eastAsia="zh-CN"/>
        </w:rPr>
        <w:t xml:space="preserve">竞争性磋商</w:t>
      </w:r>
      <w:r>
        <w:rPr>
          <w:rFonts w:hint="eastAsia" w:ascii="宋体" w:hAnsi="宋体"/>
          <w:color w:val="auto"/>
          <w:sz w:val="30"/>
          <w:highlight w:val="none"/>
          <w:lang w:eastAsia="zh-CN"/>
        </w:rPr>
        <w:t xml:space="preserve">特殊情况处理</w:t>
      </w:r>
      <w:bookmarkEnd w:id="160"/>
      <w:r>
        <w:rPr>
          <w:highlight w:val="none"/>
        </w:rPr>
      </w:r>
      <w:bookmarkEnd w:id="161"/>
      <w:r>
        <w:rPr>
          <w:highlight w:val="none"/>
        </w:rPr>
      </w:r>
      <w:bookmarkEnd w:id="162"/>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25.1</w:t>
      </w:r>
      <w:r>
        <w:rPr>
          <w:rFonts w:ascii="宋体" w:hAnsi="宋体"/>
          <w:color w:val="auto"/>
          <w:sz w:val="24"/>
          <w:highlight w:val="none"/>
        </w:rPr>
        <w:t xml:space="preserve">出现下列情形之一的，应当终止竞争性磋商采购活动，发布项目终止公告并说明原因，重新开展采购活动：</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rPr>
          <w:highlight w:val="none"/>
        </w:rPr>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25.3因重大变故，采购任务取消的则该磋商活动取消，采购人应当将取消理由通知所有供应商。</w:t>
      </w:r>
      <w:r>
        <w:rPr>
          <w:highlight w:val="none"/>
        </w:rPr>
      </w:r>
      <w:r/>
    </w:p>
    <w:p>
      <w:pPr>
        <w:pStyle w:val="1002"/>
        <w:rPr>
          <w:rFonts w:hint="eastAsia" w:ascii="宋体" w:hAnsi="宋体" w:eastAsia="宋体"/>
          <w:color w:val="auto"/>
          <w:sz w:val="32"/>
          <w:highlight w:val="none"/>
        </w:rPr>
      </w:pPr>
      <w:r>
        <w:rPr>
          <w:highlight w:val="none"/>
        </w:rPr>
      </w:r>
      <w:bookmarkStart w:id="163" w:name="_Toc73364883"/>
      <w:r>
        <w:rPr>
          <w:highlight w:val="none"/>
        </w:rPr>
      </w:r>
      <w:bookmarkStart w:id="164" w:name="_Toc256000040"/>
      <w:r>
        <w:rPr>
          <w:highlight w:val="none"/>
        </w:rPr>
      </w:r>
      <w:bookmarkStart w:id="165" w:name="_Toc73365496"/>
      <w:r>
        <w:rPr>
          <w:rFonts w:hint="eastAsia" w:ascii="宋体" w:hAnsi="宋体" w:eastAsia="宋体"/>
          <w:color w:val="auto"/>
          <w:sz w:val="32"/>
          <w:highlight w:val="none"/>
          <w:lang w:eastAsia="zh-CN"/>
        </w:rPr>
        <w:t xml:space="preserve">五、确定成交结果</w:t>
      </w:r>
      <w:bookmarkEnd w:id="163"/>
      <w:r>
        <w:rPr>
          <w:highlight w:val="none"/>
        </w:rPr>
      </w:r>
      <w:bookmarkEnd w:id="164"/>
      <w:r>
        <w:rPr>
          <w:highlight w:val="none"/>
        </w:rPr>
      </w:r>
      <w:bookmarkEnd w:id="165"/>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66" w:name="_Toc73364884"/>
      <w:r>
        <w:rPr>
          <w:highlight w:val="none"/>
        </w:rPr>
      </w:r>
      <w:bookmarkStart w:id="167" w:name="_Toc73365497"/>
      <w:r>
        <w:rPr>
          <w:highlight w:val="none"/>
        </w:rPr>
      </w:r>
      <w:bookmarkStart w:id="168" w:name="_Toc256000041"/>
      <w:r>
        <w:rPr>
          <w:rFonts w:hint="eastAsia" w:ascii="宋体" w:hAnsi="宋体"/>
          <w:color w:val="auto"/>
          <w:sz w:val="30"/>
          <w:highlight w:val="none"/>
          <w:lang w:eastAsia="zh-CN"/>
        </w:rPr>
        <w:t xml:space="preserve">26．确定成交供应商</w:t>
      </w:r>
      <w:bookmarkEnd w:id="166"/>
      <w:r>
        <w:rPr>
          <w:highlight w:val="none"/>
        </w:rPr>
      </w:r>
      <w:bookmarkEnd w:id="167"/>
      <w:r>
        <w:rPr>
          <w:highlight w:val="none"/>
        </w:rPr>
      </w:r>
      <w:bookmarkEnd w:id="168"/>
      <w:r>
        <w:rPr>
          <w:highlight w:val="none"/>
        </w:rPr>
      </w:r>
      <w:r/>
    </w:p>
    <w:p>
      <w:pPr>
        <w:ind w:firstLine="600"/>
        <w:spacing w:line="360" w:lineRule="auto"/>
        <w:rPr>
          <w:rFonts w:hint="eastAsia" w:ascii="宋体" w:hAnsi="宋体"/>
          <w:color w:val="auto"/>
          <w:sz w:val="24"/>
          <w:highlight w:val="none"/>
        </w:rPr>
      </w:pPr>
      <w:r>
        <w:rPr>
          <w:highlight w:val="none"/>
        </w:rPr>
      </w:r>
      <w:bookmarkStart w:id="169" w:name="EB3fe0db93f0354614add263878fac6db4"/>
      <w:r>
        <w:rPr>
          <w:rFonts w:hint="eastAsia" w:ascii="宋体" w:hAnsi="宋体"/>
          <w:color w:val="auto"/>
          <w:sz w:val="24"/>
          <w:highlight w:val="none"/>
        </w:rPr>
        <w:t xml:space="preserve">26.1采购代理机构在评审结束后2个工作日内将评审报告送采购人。</w:t>
      </w:r>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26.</w:t>
      </w:r>
      <w:bookmarkEnd w:id="169"/>
      <w:r>
        <w:rPr>
          <w:rFonts w:hint="eastAsia" w:ascii="宋体" w:hAnsi="宋体"/>
          <w:color w:val="auto"/>
          <w:sz w:val="24"/>
          <w:highlight w:val="none"/>
        </w:rPr>
        <w:t xml:space="preserve">2采购人自收到评审报告之日起5个工作日内，在评审报告确定的成交候选供应商名单中按顺序确定成交供应商。</w:t>
      </w:r>
      <w:r>
        <w:rPr>
          <w:highlight w:val="none"/>
        </w:rPr>
      </w:r>
      <w:r/>
    </w:p>
    <w:p>
      <w:pPr>
        <w:pStyle w:val="1002"/>
        <w:rPr>
          <w:rFonts w:hint="eastAsia" w:ascii="宋体" w:hAnsi="宋体" w:eastAsia="宋体"/>
          <w:color w:val="auto"/>
          <w:sz w:val="32"/>
          <w:highlight w:val="none"/>
        </w:rPr>
      </w:pPr>
      <w:r>
        <w:rPr>
          <w:highlight w:val="none"/>
        </w:rPr>
      </w:r>
      <w:bookmarkStart w:id="170" w:name="_Toc73364885"/>
      <w:r>
        <w:rPr>
          <w:highlight w:val="none"/>
        </w:rPr>
      </w:r>
      <w:bookmarkStart w:id="171" w:name="_Toc73365498"/>
      <w:r>
        <w:rPr>
          <w:highlight w:val="none"/>
        </w:rPr>
      </w:r>
      <w:bookmarkStart w:id="172" w:name="_Toc256000042"/>
      <w:r>
        <w:rPr>
          <w:rFonts w:hint="eastAsia" w:ascii="宋体" w:hAnsi="宋体" w:eastAsia="宋体"/>
          <w:color w:val="auto"/>
          <w:sz w:val="32"/>
          <w:highlight w:val="none"/>
          <w:lang w:eastAsia="zh-CN"/>
        </w:rPr>
        <w:t xml:space="preserve">六、授予合同</w:t>
      </w:r>
      <w:bookmarkEnd w:id="170"/>
      <w:r>
        <w:rPr>
          <w:highlight w:val="none"/>
        </w:rPr>
      </w:r>
      <w:bookmarkEnd w:id="171"/>
      <w:r>
        <w:rPr>
          <w:highlight w:val="none"/>
        </w:rPr>
      </w:r>
      <w:bookmarkEnd w:id="172"/>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73" w:name="_Toc256000043"/>
      <w:r>
        <w:rPr>
          <w:highlight w:val="none"/>
        </w:rPr>
      </w:r>
      <w:bookmarkStart w:id="174" w:name="_Toc73365499"/>
      <w:r>
        <w:rPr>
          <w:highlight w:val="none"/>
        </w:rPr>
      </w:r>
      <w:bookmarkStart w:id="175" w:name="_Toc73364886"/>
      <w:r>
        <w:rPr>
          <w:rFonts w:hint="eastAsia" w:ascii="宋体" w:hAnsi="宋体"/>
          <w:color w:val="auto"/>
          <w:sz w:val="30"/>
          <w:highlight w:val="none"/>
          <w:lang w:eastAsia="zh-CN"/>
        </w:rPr>
        <w:t xml:space="preserve">27．磋商组织方接受和拒绝任何或所有响应的权利</w:t>
      </w:r>
      <w:bookmarkEnd w:id="173"/>
      <w:r>
        <w:rPr>
          <w:highlight w:val="none"/>
        </w:rPr>
      </w:r>
      <w:bookmarkEnd w:id="174"/>
      <w:r>
        <w:rPr>
          <w:highlight w:val="none"/>
        </w:rPr>
      </w:r>
      <w:bookmarkEnd w:id="175"/>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27.1为维护国家和社会公共利益，磋商组织方保留在授标之前任何时候接受或拒绝任何供应商成交的权利，且对受影响的供应商不承担任何责任。</w:t>
      </w:r>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27.2因不可抗力或成交供应商不能履约等情形，磋商组织方保留与其他候选供应商签订合同的权利。</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76" w:name="_Toc73364887"/>
      <w:r>
        <w:rPr>
          <w:highlight w:val="none"/>
        </w:rPr>
      </w:r>
      <w:bookmarkStart w:id="177" w:name="_Toc256000044"/>
      <w:r>
        <w:rPr>
          <w:highlight w:val="none"/>
        </w:rPr>
      </w:r>
      <w:bookmarkStart w:id="178" w:name="_Toc73365500"/>
      <w:r>
        <w:rPr>
          <w:rFonts w:hint="eastAsia" w:ascii="宋体" w:hAnsi="宋体"/>
          <w:color w:val="auto"/>
          <w:sz w:val="30"/>
          <w:highlight w:val="none"/>
          <w:lang w:eastAsia="zh-CN"/>
        </w:rPr>
        <w:t xml:space="preserve">28．成交通知书</w:t>
      </w:r>
      <w:bookmarkEnd w:id="176"/>
      <w:r>
        <w:rPr>
          <w:highlight w:val="none"/>
        </w:rPr>
      </w:r>
      <w:bookmarkEnd w:id="177"/>
      <w:r>
        <w:rPr>
          <w:highlight w:val="none"/>
        </w:rPr>
      </w:r>
      <w:bookmarkEnd w:id="178"/>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28.1自成交供应商确定之日起2个工作日内，采购代理机构向成交供应商发出成交通知书，同时编制发布采购结果公告。</w:t>
      </w:r>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28.2成交通知书发出后，采购人不得违法改变成交结果，成交供应商无正当理由不得放弃成交。</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79" w:name="_Toc256000045"/>
      <w:r>
        <w:rPr>
          <w:highlight w:val="none"/>
        </w:rPr>
      </w:r>
      <w:bookmarkStart w:id="180" w:name="_Toc73365501"/>
      <w:r>
        <w:rPr>
          <w:highlight w:val="none"/>
        </w:rPr>
      </w:r>
      <w:bookmarkStart w:id="181" w:name="_Toc73364888"/>
      <w:r>
        <w:rPr>
          <w:rFonts w:hint="eastAsia" w:ascii="宋体" w:hAnsi="宋体"/>
          <w:color w:val="auto"/>
          <w:sz w:val="30"/>
          <w:highlight w:val="none"/>
          <w:lang w:eastAsia="zh-CN"/>
        </w:rPr>
        <w:t xml:space="preserve">29．签订合同</w:t>
      </w:r>
      <w:bookmarkEnd w:id="179"/>
      <w:r>
        <w:rPr>
          <w:highlight w:val="none"/>
        </w:rPr>
      </w:r>
      <w:bookmarkEnd w:id="180"/>
      <w:r>
        <w:rPr>
          <w:highlight w:val="none"/>
        </w:rPr>
      </w:r>
      <w:bookmarkEnd w:id="181"/>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29.1采购人应当自成交通知书发出之日起</w:t>
      </w:r>
      <w:bookmarkStart w:id="182" w:name="EB51d9b032aa7249af80d45424dadc155d"/>
      <w:r>
        <w:rPr>
          <w:rFonts w:hint="eastAsia" w:ascii="宋体" w:hAnsi="宋体"/>
          <w:color w:val="auto"/>
          <w:sz w:val="24"/>
          <w:szCs w:val="24"/>
          <w:highlight w:val="none"/>
        </w:rPr>
        <w:t xml:space="preserve">15</w:t>
      </w:r>
      <w:r>
        <w:rPr>
          <w:rFonts w:hint="eastAsia" w:ascii="宋体" w:hAnsi="宋体"/>
          <w:color w:val="auto"/>
          <w:sz w:val="24"/>
          <w:highlight w:val="none"/>
        </w:rPr>
        <w:t xml:space="preserve">日</w:t>
      </w:r>
      <w:bookmarkEnd w:id="182"/>
      <w:r>
        <w:rPr>
          <w:rFonts w:hint="eastAsia" w:ascii="宋体" w:hAnsi="宋体"/>
          <w:color w:val="auto"/>
          <w:sz w:val="24"/>
          <w:highlight w:val="none"/>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29.3政府采购合同应当包括采购人与成交人的名称和住所、标的、数量、质量、价款或者报酬、履行期限及地点和方式、验收要求、违约责任、解决争议的方法等内容。</w:t>
      </w:r>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29.4采购人应当自采购合同签订之日起2个工作日内，将政府采购合同在政府采购指定媒体予以公告。</w:t>
      </w:r>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29.5合同履行中，采购人需追加与合同标的相同的服务时，在不改变合同其他条款的前提下，可以与成交人协商签订补充合同，但所有补充合同的采购金额不得超过原合同采购金额的百分之十。</w:t>
      </w:r>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29.6采购人若由于各种客观原因，必须对采购项目所牵涉的货物和服务进行适当的减少时，在双方协商一致的前提下，可以按照磋商采购时的价格水平做相应的调减，并据此签订补充合同。</w:t>
      </w:r>
      <w:r>
        <w:rPr>
          <w:highlight w:val="none"/>
        </w:rPr>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29.7采购人与成交供应商应当根据合同的约定依法履行合同义务。政府采购合同的履行、违约责任和解决争议的方法等适用</w:t>
      </w:r>
      <w:bookmarkStart w:id="183" w:name="EB756a2e5eaf4942b0afe0c5074e4df86a"/>
      <w:r>
        <w:rPr>
          <w:rFonts w:hint="eastAsia" w:ascii="宋体" w:hAnsi="宋体"/>
          <w:color w:val="auto"/>
          <w:sz w:val="24"/>
          <w:szCs w:val="24"/>
          <w:highlight w:val="none"/>
        </w:rPr>
        <w:t xml:space="preserve">《中华人民共和国民法典》</w:t>
      </w:r>
      <w:bookmarkEnd w:id="183"/>
      <w:r>
        <w:rPr>
          <w:rFonts w:hint="eastAsia" w:ascii="宋体" w:hAnsi="宋体"/>
          <w:color w:val="auto"/>
          <w:sz w:val="24"/>
          <w:highlight w:val="none"/>
        </w:rPr>
        <w:t xml:space="preserve">。</w:t>
      </w:r>
      <w:bookmarkStart w:id="184" w:name="_Toc256000046"/>
      <w:r>
        <w:rPr>
          <w:highlight w:val="none"/>
        </w:rPr>
      </w:r>
      <w:bookmarkStart w:id="185" w:name="_Toc73364889"/>
      <w:r>
        <w:rPr>
          <w:highlight w:val="none"/>
        </w:rPr>
      </w:r>
      <w:bookmarkStart w:id="186" w:name="_Toc73365502"/>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rFonts w:hint="eastAsia" w:ascii="宋体" w:hAnsi="宋体"/>
          <w:color w:val="auto"/>
          <w:sz w:val="30"/>
          <w:highlight w:val="none"/>
          <w:lang w:eastAsia="zh-CN"/>
        </w:rPr>
        <w:t xml:space="preserve">30．履约保证金</w:t>
      </w:r>
      <w:bookmarkEnd w:id="184"/>
      <w:r>
        <w:rPr>
          <w:highlight w:val="none"/>
        </w:rPr>
      </w:r>
      <w:bookmarkEnd w:id="185"/>
      <w:r>
        <w:rPr>
          <w:highlight w:val="none"/>
        </w:rPr>
      </w:r>
      <w:bookmarkEnd w:id="186"/>
      <w:r>
        <w:rPr>
          <w:highlight w:val="none"/>
        </w:rPr>
      </w:r>
      <w:r/>
    </w:p>
    <w:p>
      <w:pPr>
        <w:pStyle w:val="1120"/>
        <w:ind w:firstLine="480"/>
        <w:spacing w:line="360" w:lineRule="auto"/>
        <w:rPr>
          <w:rFonts w:hint="eastAsia" w:ascii="宋体" w:hAnsi="宋体"/>
          <w:color w:val="auto"/>
          <w:sz w:val="24"/>
          <w:highlight w:val="none"/>
        </w:rPr>
      </w:pPr>
      <w:r>
        <w:rPr>
          <w:highlight w:val="none"/>
        </w:rPr>
      </w:r>
      <w:bookmarkStart w:id="187" w:name="_Toc73364890"/>
      <w:r>
        <w:rPr>
          <w:highlight w:val="none"/>
        </w:rPr>
      </w:r>
      <w:bookmarkStart w:id="188" w:name="_Toc73365503"/>
      <w:r>
        <w:rPr>
          <w:highlight w:val="none"/>
        </w:rPr>
      </w:r>
      <w:bookmarkStart w:id="189" w:name="_Toc256000047"/>
      <w:r>
        <w:rPr>
          <w:rFonts w:hint="eastAsia" w:ascii="宋体" w:hAnsi="宋体"/>
          <w:color w:val="auto"/>
          <w:sz w:val="24"/>
          <w:highlight w:val="none"/>
        </w:rPr>
        <w:t xml:space="preserve">30.1</w:t>
      </w:r>
      <w:r>
        <w:rPr>
          <w:rFonts w:ascii="宋体" w:hAnsi="宋体"/>
          <w:color w:val="auto"/>
          <w:sz w:val="24"/>
          <w:highlight w:val="none"/>
        </w:rPr>
        <w:t xml:space="preserve">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本项目不收取履约保证金。</w:t>
      </w:r>
      <w:r>
        <w:rPr>
          <w:highlight w:val="none"/>
        </w:rPr>
      </w:r>
      <w:r/>
    </w:p>
    <w:p>
      <w:pPr>
        <w:pStyle w:val="1120"/>
        <w:ind w:firstLine="1200"/>
        <w:spacing w:line="360" w:lineRule="auto"/>
        <w:rPr>
          <w:rFonts w:hint="eastAsia"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本项目中标供应商应提交政府采购合同金额</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的履约保证金(不得</w:t>
      </w:r>
      <w:r>
        <w:rPr>
          <w:rFonts w:hint="eastAsia" w:ascii="宋体" w:hAnsi="宋体"/>
          <w:color w:val="auto"/>
          <w:sz w:val="24"/>
          <w:highlight w:val="none"/>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rPr>
          <w:highlight w:val="none"/>
        </w:rPr>
      </w:r>
      <w:r/>
    </w:p>
    <w:p>
      <w:pPr>
        <w:ind w:right="30" w:firstLine="440"/>
        <w:jc w:val="left"/>
        <w:spacing w:before="27" w:line="312" w:lineRule="auto"/>
        <w:widowControl/>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30.2 履约保函</w:t>
      </w:r>
      <w:r>
        <w:rPr>
          <w:highlight w:val="none"/>
        </w:rPr>
      </w:r>
      <w:r/>
    </w:p>
    <w:p>
      <w:pPr>
        <w:ind w:right="30" w:firstLine="440"/>
        <w:jc w:val="left"/>
        <w:spacing w:before="27" w:line="312" w:lineRule="auto"/>
        <w:widowControl/>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成交供应商在以下方式中选择其一，作为双方对履约保函的约定。</w:t>
      </w:r>
      <w:r>
        <w:rPr>
          <w:highlight w:val="none"/>
        </w:rPr>
      </w:r>
      <w:r/>
    </w:p>
    <w:p>
      <w:pPr>
        <w:ind w:right="30" w:firstLine="460"/>
        <w:jc w:val="left"/>
        <w:spacing w:before="27" w:line="312" w:lineRule="auto"/>
        <w:widowControl/>
        <w:rPr>
          <w:rFonts w:hint="eastAsia" w:ascii="宋体" w:hAnsi="宋体" w:cs="宋体"/>
          <w:color w:val="auto"/>
          <w:spacing w:val="-10"/>
          <w:sz w:val="24"/>
          <w:szCs w:val="24"/>
          <w:highlight w:val="none"/>
        </w:rPr>
      </w:pPr>
      <w:r>
        <w:rPr>
          <w:rFonts w:ascii="Segoe UI Symbol" w:hAnsi="Segoe UI Symbol" w:eastAsia="Segoe UI Symbol" w:cs="Segoe UI Symbol"/>
          <w:color w:val="auto"/>
          <w:spacing w:val="-5"/>
          <w:sz w:val="24"/>
          <w:szCs w:val="24"/>
          <w:highlight w:val="none"/>
        </w:rPr>
        <w:t xml:space="preserve">☑</w:t>
      </w:r>
      <w:r>
        <w:rPr>
          <w:rFonts w:hint="eastAsia" w:ascii="宋体" w:hAnsi="宋体" w:cs="宋体"/>
          <w:color w:val="auto"/>
          <w:spacing w:val="-10"/>
          <w:sz w:val="24"/>
          <w:szCs w:val="24"/>
          <w:highlight w:val="none"/>
        </w:rPr>
        <w:t xml:space="preserve">供应商不提交履约保函。</w:t>
      </w:r>
      <w:r>
        <w:rPr>
          <w:highlight w:val="none"/>
        </w:rPr>
      </w:r>
      <w:r/>
    </w:p>
    <w:p>
      <w:pPr>
        <w:ind w:right="30" w:firstLine="440"/>
        <w:jc w:val="left"/>
        <w:spacing w:before="27" w:line="312" w:lineRule="auto"/>
        <w:widowControl/>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□供应商提交履约保函的格式、金额和时间</w:t>
      </w:r>
      <w:r>
        <w:rPr>
          <w:highlight w:val="none"/>
        </w:rPr>
      </w:r>
      <w:r/>
    </w:p>
    <w:p>
      <w:pPr>
        <w:ind w:right="30" w:firstLine="440"/>
        <w:jc w:val="left"/>
        <w:spacing w:before="27" w:line="312" w:lineRule="auto"/>
        <w:widowControl/>
        <w:rPr>
          <w:rFonts w:hint="eastAsia" w:ascii="宋体" w:hAnsi="宋体" w:cs="宋体"/>
          <w:color w:val="auto"/>
          <w:spacing w:val="-10"/>
          <w:sz w:val="24"/>
          <w:szCs w:val="24"/>
          <w:highlight w:val="none"/>
        </w:rPr>
      </w:pPr>
      <w:r>
        <w:rPr>
          <w:rFonts w:hint="eastAsia" w:ascii="宋体" w:hAnsi="宋体" w:cs="宋体"/>
          <w:color w:val="auto"/>
          <w:spacing w:val="-10"/>
          <w:sz w:val="24"/>
          <w:szCs w:val="24"/>
          <w:highlight w:val="none"/>
        </w:rPr>
        <w:t xml:space="preserve"> 格式为银行保函，金额为中标金额的10%，收到成交通知书20天内提交 。</w:t>
      </w:r>
      <w:bookmarkEnd w:id="187"/>
      <w:r>
        <w:rPr>
          <w:highlight w:val="none"/>
        </w:rPr>
      </w:r>
      <w:bookmarkEnd w:id="188"/>
      <w:r>
        <w:rPr>
          <w:highlight w:val="none"/>
        </w:rPr>
      </w:r>
      <w:bookmarkEnd w:id="189"/>
      <w:r>
        <w:rPr>
          <w:highlight w:val="none"/>
        </w:rPr>
      </w:r>
      <w:r/>
    </w:p>
    <w:p>
      <w:pPr>
        <w:pStyle w:val="1120"/>
        <w:ind w:firstLine="1200"/>
        <w:spacing w:line="360" w:lineRule="auto"/>
        <w:rPr>
          <w:rFonts w:hint="eastAsia" w:ascii="宋体" w:hAnsi="宋体"/>
          <w:color w:val="auto"/>
          <w:sz w:val="24"/>
          <w:highlight w:val="none"/>
        </w:rPr>
      </w:pPr>
      <w:r>
        <w:rPr>
          <w:rFonts w:hint="eastAsia" w:ascii="宋体" w:hAnsi="宋体"/>
          <w:color w:val="auto"/>
          <w:sz w:val="24"/>
          <w:highlight w:val="none"/>
        </w:rPr>
      </w:r>
      <w:r>
        <w:rPr>
          <w:highlight w:val="none"/>
        </w:rPr>
      </w:r>
      <w:r/>
    </w:p>
    <w:p>
      <w:pPr>
        <w:pStyle w:val="1004"/>
        <w:ind w:firstLine="301"/>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90" w:name="_Toc73365504"/>
      <w:r>
        <w:rPr>
          <w:highlight w:val="none"/>
        </w:rPr>
      </w:r>
      <w:bookmarkStart w:id="191" w:name="_Toc256000048"/>
      <w:r>
        <w:rPr>
          <w:highlight w:val="none"/>
        </w:rPr>
      </w:r>
      <w:bookmarkStart w:id="192" w:name="_Toc73364891"/>
      <w:r>
        <w:rPr>
          <w:rFonts w:hint="eastAsia" w:ascii="宋体" w:hAnsi="宋体"/>
          <w:color w:val="auto"/>
          <w:sz w:val="30"/>
          <w:highlight w:val="none"/>
          <w:lang w:eastAsia="zh-CN"/>
        </w:rPr>
        <w:t xml:space="preserve">31．询问</w:t>
      </w:r>
      <w:bookmarkEnd w:id="190"/>
      <w:r>
        <w:rPr>
          <w:highlight w:val="none"/>
        </w:rPr>
      </w:r>
      <w:bookmarkEnd w:id="191"/>
      <w:r>
        <w:rPr>
          <w:highlight w:val="none"/>
        </w:rPr>
      </w:r>
      <w:bookmarkEnd w:id="192"/>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31.1供应商对磋商活动事项有疑问的，可以向采购人或磋商组织方提出询问，采购人或磋商组织方将依法作出答复，但答复的内容不得涉及商业秘密。</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93" w:name="_Toc256000049"/>
      <w:r>
        <w:rPr>
          <w:highlight w:val="none"/>
        </w:rPr>
      </w:r>
      <w:bookmarkStart w:id="194" w:name="_Toc73365505"/>
      <w:r>
        <w:rPr>
          <w:highlight w:val="none"/>
        </w:rPr>
      </w:r>
      <w:bookmarkStart w:id="195" w:name="_Toc73364892"/>
      <w:r>
        <w:rPr>
          <w:rFonts w:hint="eastAsia" w:ascii="宋体" w:hAnsi="宋体"/>
          <w:color w:val="auto"/>
          <w:sz w:val="30"/>
          <w:highlight w:val="none"/>
          <w:lang w:eastAsia="zh-CN"/>
        </w:rPr>
        <w:t xml:space="preserve">32．质疑</w:t>
      </w:r>
      <w:bookmarkEnd w:id="193"/>
      <w:r>
        <w:rPr>
          <w:highlight w:val="none"/>
        </w:rPr>
      </w:r>
      <w:bookmarkEnd w:id="194"/>
      <w:r>
        <w:rPr>
          <w:highlight w:val="none"/>
        </w:rPr>
      </w:r>
      <w:bookmarkEnd w:id="195"/>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6" w:name="EBe57b2086e1964f6c9a98adb43196769d"/>
      <w:r>
        <w:rPr>
          <w:rFonts w:ascii="宋体" w:hAnsi="宋体"/>
          <w:color w:val="auto"/>
          <w:sz w:val="20"/>
          <w:highlight w:val="none"/>
        </w:rPr>
        <w:t xml:space="preserve"> </w:t>
      </w:r>
      <w:bookmarkEnd w:id="196"/>
      <w:r>
        <w:rPr>
          <w:highlight w:val="none"/>
        </w:rPr>
      </w:r>
      <w:bookmarkStart w:id="197" w:name="EB14c12432eda944b6b81906a07b050baa"/>
      <w:r>
        <w:rPr>
          <w:rFonts w:ascii="宋体" w:hAnsi="宋体"/>
          <w:color w:val="auto"/>
          <w:sz w:val="20"/>
          <w:highlight w:val="none"/>
        </w:rPr>
        <w:t xml:space="preserve"> </w:t>
      </w:r>
      <w:bookmarkEnd w:id="197"/>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以上规定的供应商应知其权益受到损害之日，是指：</w:t>
      </w:r>
      <w:r>
        <w:rPr>
          <w:highlight w:val="none"/>
        </w:rPr>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（1）对可以质疑的磋商文件提出质疑的，为收到磋商文件之日或者磋商文件公告期限届满之日；</w:t>
      </w:r>
      <w:r>
        <w:rPr>
          <w:highlight w:val="none"/>
        </w:rPr>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（2）对采购过程提出质疑的，为各采购程序环节结束之日；</w:t>
      </w:r>
      <w:r>
        <w:rPr>
          <w:highlight w:val="none"/>
        </w:rPr>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（3）对成交结果提出质疑的，为结果公告期限届满之日。</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rPr>
          <w:highlight w:val="none"/>
        </w:rPr>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32.4质疑流程及注意事项见“镇江市公共资源交易服务平台—政府采购”网站下载中心。</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198" w:name="_Toc73365506"/>
      <w:r>
        <w:rPr>
          <w:highlight w:val="none"/>
        </w:rPr>
      </w:r>
      <w:bookmarkStart w:id="199" w:name="_Toc73364893"/>
      <w:r>
        <w:rPr>
          <w:highlight w:val="none"/>
        </w:rPr>
      </w:r>
      <w:bookmarkStart w:id="200" w:name="_Toc256000050"/>
      <w:r>
        <w:rPr>
          <w:rFonts w:hint="eastAsia" w:ascii="宋体" w:hAnsi="宋体"/>
          <w:color w:val="auto"/>
          <w:sz w:val="30"/>
          <w:highlight w:val="none"/>
          <w:lang w:eastAsia="zh-CN"/>
        </w:rPr>
        <w:t xml:space="preserve">33．投诉</w:t>
      </w:r>
      <w:bookmarkEnd w:id="198"/>
      <w:r>
        <w:rPr>
          <w:highlight w:val="none"/>
        </w:rPr>
      </w:r>
      <w:bookmarkEnd w:id="199"/>
      <w:r>
        <w:rPr>
          <w:highlight w:val="none"/>
        </w:rPr>
      </w:r>
      <w:bookmarkEnd w:id="200"/>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33.1质疑供应商对采购人、磋商组织方的答复不满意，或者采购人、磋商组织方未在规定的时间内作出答复的，可以在答复期满后十五个工作日内向采购项目同级财政部门投诉。</w:t>
      </w:r>
      <w:r>
        <w:rPr>
          <w:highlight w:val="none"/>
        </w:rPr>
      </w:r>
      <w:r/>
    </w:p>
    <w:p>
      <w:pPr>
        <w:pStyle w:val="1002"/>
        <w:rPr>
          <w:rFonts w:hint="eastAsia" w:ascii="宋体" w:hAnsi="宋体" w:eastAsia="宋体"/>
          <w:color w:val="auto"/>
          <w:sz w:val="32"/>
          <w:highlight w:val="none"/>
        </w:rPr>
      </w:pPr>
      <w:r>
        <w:rPr>
          <w:highlight w:val="none"/>
        </w:rPr>
      </w:r>
      <w:bookmarkStart w:id="201" w:name="_Toc256000051"/>
      <w:r>
        <w:rPr>
          <w:highlight w:val="none"/>
        </w:rPr>
      </w:r>
      <w:bookmarkStart w:id="202" w:name="_Toc73364894"/>
      <w:r>
        <w:rPr>
          <w:highlight w:val="none"/>
        </w:rPr>
      </w:r>
      <w:bookmarkStart w:id="203" w:name="_Toc73365507"/>
      <w:r>
        <w:rPr>
          <w:rFonts w:hint="eastAsia" w:ascii="宋体" w:hAnsi="宋体" w:eastAsia="宋体"/>
          <w:color w:val="auto"/>
          <w:sz w:val="32"/>
          <w:highlight w:val="none"/>
          <w:lang w:eastAsia="zh-CN"/>
        </w:rPr>
        <w:t xml:space="preserve">八、诚实信用和解释权</w:t>
      </w:r>
      <w:bookmarkEnd w:id="201"/>
      <w:r>
        <w:rPr>
          <w:highlight w:val="none"/>
        </w:rPr>
      </w:r>
      <w:bookmarkEnd w:id="202"/>
      <w:r>
        <w:rPr>
          <w:highlight w:val="none"/>
        </w:rPr>
      </w:r>
      <w:bookmarkEnd w:id="203"/>
      <w:r>
        <w:rPr>
          <w:highlight w:val="none"/>
        </w:rPr>
      </w:r>
      <w:r/>
    </w:p>
    <w:p>
      <w:pPr>
        <w:pStyle w:val="1004"/>
        <w:ind w:firstLine="446"/>
        <w:keepLines w:val="0"/>
        <w:keepNext w:val="0"/>
        <w:spacing w:before="200" w:after="200" w:line="360" w:lineRule="auto"/>
        <w:tabs>
          <w:tab w:val="left" w:pos="5191" w:leader="none"/>
        </w:tabs>
        <w:rPr>
          <w:rFonts w:hint="eastAsia" w:ascii="宋体" w:hAnsi="宋体"/>
          <w:color w:val="auto"/>
          <w:sz w:val="30"/>
          <w:highlight w:val="none"/>
        </w:rPr>
      </w:pPr>
      <w:r>
        <w:rPr>
          <w:highlight w:val="none"/>
        </w:rPr>
      </w:r>
      <w:bookmarkStart w:id="204" w:name="_Toc256000052"/>
      <w:r>
        <w:rPr>
          <w:highlight w:val="none"/>
        </w:rPr>
      </w:r>
      <w:bookmarkStart w:id="205" w:name="_Toc73364895"/>
      <w:r>
        <w:rPr>
          <w:highlight w:val="none"/>
        </w:rPr>
      </w:r>
      <w:bookmarkStart w:id="206" w:name="_Toc73365508"/>
      <w:r>
        <w:rPr>
          <w:rFonts w:hint="eastAsia" w:ascii="宋体" w:hAnsi="宋体"/>
          <w:color w:val="auto"/>
          <w:sz w:val="30"/>
          <w:highlight w:val="none"/>
          <w:lang w:eastAsia="zh-CN"/>
        </w:rPr>
        <w:t xml:space="preserve">34．诚实信用</w:t>
      </w:r>
      <w:bookmarkEnd w:id="204"/>
      <w:r>
        <w:rPr>
          <w:highlight w:val="none"/>
        </w:rPr>
      </w:r>
      <w:bookmarkEnd w:id="205"/>
      <w:r>
        <w:rPr>
          <w:highlight w:val="none"/>
        </w:rPr>
      </w:r>
      <w:bookmarkEnd w:id="206"/>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34.1供应商之间不得相互串通磋商报价，不得妨碍其他供应商的公平竞争，不得损害采购人和其他供应商的合法权益。</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34.3供应商不得虚假承诺，否则，按照提供虚假材料谋取中标/成交处理。</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34</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rPr>
          <w:highlight w:val="none"/>
        </w:rPr>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34</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auto"/>
          <w:sz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r/>
    </w:p>
    <w:p>
      <w:pPr>
        <w:pStyle w:val="1004"/>
        <w:ind w:firstLine="446"/>
        <w:keepLines w:val="0"/>
        <w:keepNext w:val="0"/>
        <w:spacing w:before="0" w:after="0" w:line="360" w:lineRule="auto"/>
        <w:tabs>
          <w:tab w:val="left" w:pos="5191" w:leader="none"/>
        </w:tabs>
        <w:rPr>
          <w:rFonts w:hint="eastAsia" w:ascii="宋体" w:hAnsi="宋体"/>
          <w:color w:val="auto"/>
          <w:sz w:val="30"/>
          <w:highlight w:val="none"/>
        </w:rPr>
      </w:pPr>
      <w:r>
        <w:rPr>
          <w:highlight w:val="none"/>
        </w:rPr>
      </w:r>
      <w:bookmarkStart w:id="207" w:name="_Toc73364896"/>
      <w:r>
        <w:rPr>
          <w:highlight w:val="none"/>
        </w:rPr>
      </w:r>
      <w:bookmarkStart w:id="208" w:name="_Toc256000053"/>
      <w:r>
        <w:rPr>
          <w:highlight w:val="none"/>
        </w:rPr>
      </w:r>
      <w:bookmarkStart w:id="209" w:name="_Toc73365509"/>
      <w:r>
        <w:rPr>
          <w:rFonts w:hint="eastAsia" w:ascii="宋体" w:hAnsi="宋体"/>
          <w:color w:val="auto"/>
          <w:sz w:val="30"/>
          <w:highlight w:val="none"/>
          <w:lang w:eastAsia="zh-CN"/>
        </w:rPr>
        <w:t xml:space="preserve">35．解释权</w:t>
      </w:r>
      <w:bookmarkEnd w:id="207"/>
      <w:r>
        <w:rPr>
          <w:highlight w:val="none"/>
        </w:rPr>
      </w:r>
      <w:bookmarkEnd w:id="208"/>
      <w:r>
        <w:rPr>
          <w:highlight w:val="none"/>
        </w:rPr>
      </w:r>
      <w:bookmarkEnd w:id="209"/>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35.1除相关法律、法规规定外，本磋商文件的解释权归大洲设计咨询集团有限公司所有。</w:t>
      </w:r>
      <w:r>
        <w:rPr>
          <w:highlight w:val="none"/>
        </w:rPr>
      </w:r>
      <w:r/>
    </w:p>
    <w:p>
      <w:pPr>
        <w:pStyle w:val="1004"/>
        <w:ind w:firstLine="446"/>
        <w:keepLines w:val="0"/>
        <w:keepNext w:val="0"/>
        <w:spacing w:before="0" w:after="0" w:line="360" w:lineRule="auto"/>
        <w:tabs>
          <w:tab w:val="left" w:pos="5191" w:leader="none"/>
        </w:tabs>
        <w:rPr>
          <w:rFonts w:hint="eastAsia" w:ascii="宋体" w:hAnsi="宋体"/>
          <w:color w:val="auto"/>
          <w:sz w:val="30"/>
          <w:highlight w:val="none"/>
        </w:rPr>
      </w:pPr>
      <w:r>
        <w:rPr>
          <w:highlight w:val="none"/>
        </w:rPr>
      </w:r>
      <w:bookmarkStart w:id="210" w:name="_Toc256000054"/>
      <w:r>
        <w:rPr>
          <w:highlight w:val="none"/>
        </w:rPr>
      </w:r>
      <w:bookmarkStart w:id="211" w:name="_Toc73364897"/>
      <w:r>
        <w:rPr>
          <w:highlight w:val="none"/>
        </w:rPr>
      </w:r>
      <w:bookmarkStart w:id="212" w:name="_Toc73365510"/>
      <w:r>
        <w:rPr>
          <w:rFonts w:hint="eastAsia" w:ascii="宋体" w:hAnsi="宋体"/>
          <w:color w:val="auto"/>
          <w:sz w:val="30"/>
          <w:highlight w:val="none"/>
          <w:lang w:eastAsia="zh-CN"/>
        </w:rPr>
        <w:t xml:space="preserve">36．适用法律及约束力</w:t>
      </w:r>
      <w:bookmarkEnd w:id="210"/>
      <w:r>
        <w:rPr>
          <w:highlight w:val="none"/>
        </w:rPr>
      </w:r>
      <w:bookmarkEnd w:id="211"/>
      <w:r>
        <w:rPr>
          <w:highlight w:val="none"/>
        </w:rPr>
      </w:r>
      <w:bookmarkEnd w:id="212"/>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36.1</w:t>
      </w:r>
      <w:r>
        <w:rPr>
          <w:rFonts w:hint="eastAsia" w:ascii="宋体" w:hAnsi="宋体"/>
          <w:b/>
          <w:color w:val="auto"/>
          <w:sz w:val="24"/>
          <w:highlight w:val="none"/>
        </w:rPr>
        <w:t xml:space="preserve">供应商一旦获取了本磋商文件并参加磋商，即被认为接受了本磋商文件的规定和约束。</w:t>
      </w:r>
      <w:r>
        <w:rPr>
          <w:highlight w:val="none"/>
        </w:rPr>
      </w:r>
      <w:r/>
    </w:p>
    <w:p>
      <w:pPr>
        <w:ind w:firstLine="480"/>
        <w:spacing w:line="360" w:lineRule="auto"/>
        <w:rPr>
          <w:rFonts w:hint="eastAsia" w:ascii="宋体" w:hAnsi="宋体"/>
          <w:color w:val="auto"/>
          <w:sz w:val="24"/>
          <w:highlight w:val="none"/>
        </w:rPr>
        <w:sectPr>
          <w:footerReference w:type="default" r:id="rId10"/>
          <w:footerReference w:type="first" r:id="rId11"/>
          <w:footnotePr/>
          <w:endnotePr/>
          <w:type w:val="nextPage"/>
          <w:pgSz w:w="11907" w:h="16840" w:orient="portrait"/>
          <w:pgMar w:top="1440" w:right="1270" w:bottom="1440" w:left="1270" w:header="851" w:footer="851" w:gutter="0"/>
          <w:cols w:num="1" w:sep="0" w:space="720" w:equalWidth="1"/>
          <w:docGrid w:linePitch="360"/>
          <w:titlePg/>
        </w:sectPr>
      </w:pPr>
      <w:r>
        <w:rPr>
          <w:rFonts w:hint="eastAsia" w:ascii="宋体" w:hAnsi="宋体"/>
          <w:color w:val="auto"/>
          <w:sz w:val="24"/>
          <w:highlight w:val="none"/>
        </w:rPr>
        <w:t xml:space="preserve">36.2本次采购及由本次采购产生的合同受中华人民共和国法律制约和保护。</w:t>
      </w:r>
      <w:bookmarkStart w:id="213" w:name="EB419d05b8a1254ef8af4578a7646e1195"/>
      <w:r>
        <w:rPr>
          <w:highlight w:val="none"/>
        </w:rPr>
      </w:r>
      <w:bookmarkEnd w:id="213"/>
      <w:r>
        <w:rPr>
          <w:highlight w:val="none"/>
        </w:rPr>
      </w:r>
      <w:bookmarkStart w:id="214" w:name="_Toc73364899"/>
      <w:r>
        <w:rPr>
          <w:highlight w:val="none"/>
        </w:rPr>
      </w:r>
      <w:bookmarkStart w:id="215" w:name="_Toc256000056"/>
      <w:r>
        <w:rPr>
          <w:highlight w:val="none"/>
        </w:rPr>
      </w:r>
      <w:bookmarkStart w:id="216" w:name="_Toc73365512"/>
      <w:r>
        <w:rPr>
          <w:highlight w:val="none"/>
        </w:rPr>
      </w:r>
      <w:r/>
    </w:p>
    <w:p>
      <w:pPr>
        <w:numPr>
          <w:ilvl w:val="0"/>
          <w:numId w:val="6"/>
        </w:numPr>
        <w:jc w:val="center"/>
        <w:rPr>
          <w:rFonts w:hint="eastAsia" w:ascii="宋体" w:hAnsi="宋体"/>
          <w:b/>
          <w:color w:val="auto"/>
          <w:sz w:val="30"/>
          <w:szCs w:val="24"/>
          <w:highlight w:val="none"/>
        </w:rPr>
      </w:pPr>
      <w:r>
        <w:rPr>
          <w:highlight w:val="none"/>
        </w:rPr>
      </w:r>
      <w:bookmarkStart w:id="217" w:name="_Toc22000633"/>
      <w:r>
        <w:rPr>
          <w:rFonts w:hint="eastAsia" w:ascii="宋体" w:hAnsi="宋体"/>
          <w:b/>
          <w:color w:val="auto"/>
          <w:sz w:val="30"/>
          <w:szCs w:val="24"/>
          <w:highlight w:val="none"/>
        </w:rPr>
        <w:t xml:space="preserve"> 拟签订的合同文本</w:t>
      </w:r>
      <w:bookmarkEnd w:id="214"/>
      <w:r>
        <w:rPr>
          <w:highlight w:val="none"/>
        </w:rPr>
      </w:r>
      <w:bookmarkEnd w:id="215"/>
      <w:r>
        <w:rPr>
          <w:highlight w:val="none"/>
        </w:rPr>
      </w:r>
      <w:bookmarkEnd w:id="216"/>
      <w:r>
        <w:rPr>
          <w:highlight w:val="none"/>
        </w:rPr>
      </w:r>
      <w:bookmarkEnd w:id="217"/>
      <w:r>
        <w:rPr>
          <w:highlight w:val="none"/>
        </w:rPr>
      </w:r>
      <w:r/>
    </w:p>
    <w:p>
      <w:pPr>
        <w:numPr>
          <w:ilvl w:val="0"/>
          <w:numId w:val="0"/>
        </w:numPr>
        <w:jc w:val="center"/>
        <w:widowControl w:val="off"/>
        <w:rPr>
          <w:rFonts w:hint="eastAsia" w:ascii="宋体" w:hAnsi="宋体"/>
          <w:b/>
          <w:color w:val="auto"/>
          <w:sz w:val="30"/>
          <w:szCs w:val="24"/>
          <w:highlight w:val="none"/>
        </w:rPr>
      </w:pPr>
      <w:r>
        <w:rPr>
          <w:rFonts w:hint="eastAsia" w:ascii="宋体" w:hAnsi="宋体"/>
          <w:b/>
          <w:color w:val="auto"/>
          <w:sz w:val="30"/>
          <w:szCs w:val="24"/>
          <w:highlight w:val="none"/>
        </w:rPr>
      </w:r>
      <w:r>
        <w:rPr>
          <w:highlight w:val="none"/>
        </w:rPr>
      </w:r>
      <w:r/>
    </w:p>
    <w:p>
      <w:pPr>
        <w:numPr>
          <w:ilvl w:val="0"/>
          <w:numId w:val="0"/>
        </w:numPr>
        <w:jc w:val="center"/>
        <w:widowControl w:val="off"/>
        <w:rPr>
          <w:rFonts w:hint="eastAsia" w:ascii="宋体" w:hAnsi="宋体"/>
          <w:b/>
          <w:color w:val="auto"/>
          <w:sz w:val="30"/>
          <w:szCs w:val="24"/>
          <w:highlight w:val="none"/>
        </w:rPr>
      </w:pPr>
      <w:r>
        <w:rPr>
          <w:rFonts w:hint="eastAsia" w:ascii="宋体" w:hAnsi="宋体"/>
          <w:b/>
          <w:color w:val="auto"/>
          <w:sz w:val="30"/>
          <w:szCs w:val="24"/>
          <w:highlight w:val="none"/>
        </w:rPr>
      </w:r>
      <w:r>
        <w:rPr>
          <w:highlight w:val="none"/>
        </w:rPr>
      </w:r>
      <w:r/>
    </w:p>
    <w:p>
      <w:pPr>
        <w:numPr>
          <w:ilvl w:val="0"/>
          <w:numId w:val="0"/>
        </w:numPr>
        <w:jc w:val="center"/>
        <w:widowControl w:val="off"/>
        <w:rPr>
          <w:rFonts w:hint="eastAsia" w:ascii="宋体" w:hAnsi="宋体"/>
          <w:b/>
          <w:color w:val="auto"/>
          <w:sz w:val="30"/>
          <w:szCs w:val="24"/>
          <w:highlight w:val="none"/>
        </w:rPr>
      </w:pPr>
      <w:r>
        <w:rPr>
          <w:rFonts w:hint="eastAsia" w:ascii="宋体" w:hAnsi="宋体"/>
          <w:b/>
          <w:color w:val="auto"/>
          <w:sz w:val="30"/>
          <w:szCs w:val="24"/>
          <w:highlight w:val="none"/>
        </w:rPr>
      </w:r>
      <w:r>
        <w:rPr>
          <w:highlight w:val="none"/>
        </w:rPr>
      </w:r>
      <w:r/>
    </w:p>
    <w:p>
      <w:pPr>
        <w:pStyle w:val="1116"/>
        <w:jc w:val="left"/>
        <w:rPr>
          <w:rStyle w:val="1114"/>
          <w:rFonts w:hint="eastAsia" w:ascii="宋体" w:hAnsi="宋体" w:cs="宋体"/>
          <w:bCs/>
          <w:sz w:val="32"/>
          <w:szCs w:val="32"/>
          <w:highlight w:val="none"/>
        </w:rPr>
      </w:pPr>
      <w:r>
        <w:rPr>
          <w:highlight w:val="none"/>
        </w:rPr>
      </w:r>
      <w:bookmarkStart w:id="218" w:name="_Toc29137"/>
      <w:r>
        <w:rPr>
          <w:highlight w:val="none"/>
        </w:rPr>
      </w:r>
      <w:bookmarkStart w:id="219" w:name="_Hlk200356133"/>
      <w:r>
        <w:rPr>
          <w:rStyle w:val="1114"/>
          <w:rFonts w:hint="eastAsia" w:ascii="宋体" w:hAnsi="宋体" w:cs="宋体"/>
          <w:bCs/>
          <w:sz w:val="32"/>
          <w:szCs w:val="32"/>
          <w:highlight w:val="none"/>
        </w:rPr>
        <w:t xml:space="preserve">（GF—2017—0201）</w:t>
      </w:r>
      <w:r>
        <w:rPr>
          <w:highlight w:val="none"/>
        </w:rPr>
      </w:r>
      <w:r/>
    </w:p>
    <w:p>
      <w:pPr>
        <w:pStyle w:val="1116"/>
        <w:jc w:val="center"/>
        <w:rPr>
          <w:rStyle w:val="1114"/>
          <w:rFonts w:hint="eastAsia" w:ascii="宋体" w:hAnsi="宋体" w:cs="宋体"/>
          <w:b/>
          <w:sz w:val="52"/>
          <w:szCs w:val="52"/>
          <w:highlight w:val="none"/>
        </w:rPr>
      </w:pPr>
      <w:r>
        <w:rPr>
          <w:rFonts w:hint="eastAsia" w:ascii="宋体" w:hAnsi="宋体" w:cs="宋体"/>
          <w:b/>
          <w:sz w:val="52"/>
          <w:szCs w:val="52"/>
          <w:highlight w:val="none"/>
        </w:rPr>
      </w:r>
      <w:r>
        <w:rPr>
          <w:highlight w:val="none"/>
        </w:rPr>
      </w:r>
      <w:r/>
    </w:p>
    <w:p>
      <w:pPr>
        <w:pStyle w:val="1116"/>
        <w:jc w:val="center"/>
        <w:rPr>
          <w:rStyle w:val="1114"/>
          <w:rFonts w:hint="eastAsia" w:ascii="宋体" w:hAnsi="宋体" w:cs="宋体"/>
          <w:b/>
          <w:sz w:val="52"/>
          <w:szCs w:val="52"/>
          <w:highlight w:val="none"/>
        </w:rPr>
      </w:pPr>
      <w:r>
        <w:rPr>
          <w:rFonts w:hint="eastAsia" w:ascii="宋体" w:hAnsi="宋体" w:cs="宋体"/>
          <w:b/>
          <w:sz w:val="52"/>
          <w:szCs w:val="52"/>
          <w:highlight w:val="none"/>
        </w:rPr>
      </w:r>
      <w:r>
        <w:rPr>
          <w:highlight w:val="none"/>
        </w:rPr>
      </w:r>
      <w:r/>
    </w:p>
    <w:p>
      <w:pPr>
        <w:pStyle w:val="1116"/>
        <w:jc w:val="center"/>
        <w:rPr>
          <w:rStyle w:val="1114"/>
          <w:rFonts w:hint="eastAsia" w:ascii="宋体" w:hAnsi="宋体" w:cs="宋体"/>
          <w:b/>
          <w:sz w:val="52"/>
          <w:szCs w:val="52"/>
          <w:highlight w:val="none"/>
        </w:rPr>
      </w:pPr>
      <w:r>
        <w:rPr>
          <w:rFonts w:hint="eastAsia" w:ascii="宋体" w:hAnsi="宋体" w:cs="宋体"/>
          <w:b/>
          <w:sz w:val="52"/>
          <w:szCs w:val="52"/>
          <w:highlight w:val="none"/>
        </w:rPr>
      </w:r>
      <w:r>
        <w:rPr>
          <w:highlight w:val="none"/>
        </w:rPr>
      </w:r>
      <w:r/>
    </w:p>
    <w:p>
      <w:pPr>
        <w:pStyle w:val="1116"/>
        <w:jc w:val="center"/>
        <w:rPr>
          <w:rStyle w:val="1114"/>
          <w:rFonts w:hint="eastAsia" w:ascii="宋体" w:hAnsi="宋体" w:cs="宋体"/>
          <w:b/>
          <w:sz w:val="52"/>
          <w:szCs w:val="52"/>
          <w:highlight w:val="none"/>
        </w:rPr>
      </w:pPr>
      <w:r>
        <w:rPr>
          <w:rFonts w:hint="eastAsia" w:ascii="宋体" w:hAnsi="宋体" w:cs="宋体"/>
          <w:b/>
          <w:sz w:val="52"/>
          <w:szCs w:val="52"/>
          <w:highlight w:val="none"/>
        </w:rPr>
      </w:r>
      <w:r>
        <w:rPr>
          <w:highlight w:val="none"/>
        </w:rPr>
      </w:r>
      <w:r/>
    </w:p>
    <w:p>
      <w:pPr>
        <w:pStyle w:val="1116"/>
        <w:jc w:val="center"/>
        <w:rPr>
          <w:rStyle w:val="1114"/>
          <w:rFonts w:hint="eastAsia" w:ascii="宋体" w:hAnsi="宋体" w:cs="宋体"/>
          <w:b/>
          <w:sz w:val="72"/>
          <w:szCs w:val="52"/>
          <w:highlight w:val="none"/>
        </w:rPr>
      </w:pPr>
      <w:r>
        <w:rPr>
          <w:rStyle w:val="1114"/>
          <w:rFonts w:hint="eastAsia" w:ascii="宋体" w:hAnsi="宋体" w:cs="宋体"/>
          <w:b/>
          <w:sz w:val="72"/>
          <w:szCs w:val="52"/>
          <w:highlight w:val="none"/>
        </w:rPr>
        <w:t xml:space="preserve">建设工程施工合同</w:t>
      </w:r>
      <w:r>
        <w:rPr>
          <w:highlight w:val="none"/>
        </w:rPr>
      </w:r>
      <w:r/>
    </w:p>
    <w:p>
      <w:pPr>
        <w:pStyle w:val="1116"/>
        <w:jc w:val="center"/>
        <w:rPr>
          <w:rStyle w:val="1114"/>
          <w:rFonts w:hint="eastAsia" w:ascii="宋体" w:hAnsi="宋体" w:cs="宋体"/>
          <w:b/>
          <w:sz w:val="52"/>
          <w:szCs w:val="52"/>
          <w:highlight w:val="none"/>
        </w:rPr>
      </w:pPr>
      <w:r>
        <w:rPr>
          <w:rStyle w:val="1114"/>
          <w:rFonts w:hint="eastAsia" w:ascii="宋体" w:hAnsi="宋体" w:cs="宋体"/>
          <w:b/>
          <w:sz w:val="52"/>
          <w:szCs w:val="52"/>
          <w:highlight w:val="none"/>
        </w:rPr>
        <w:t xml:space="preserve">（示范文本）</w:t>
      </w:r>
      <w:r>
        <w:rPr>
          <w:highlight w:val="none"/>
        </w:rPr>
      </w:r>
      <w:r/>
    </w:p>
    <w:p>
      <w:pPr>
        <w:pStyle w:val="1116"/>
        <w:jc w:val="center"/>
        <w:rPr>
          <w:rStyle w:val="1114"/>
          <w:rFonts w:hint="eastAsia" w:ascii="宋体" w:hAnsi="宋体" w:cs="宋体"/>
          <w:b/>
          <w:sz w:val="52"/>
          <w:szCs w:val="52"/>
          <w:highlight w:val="none"/>
        </w:rPr>
      </w:pPr>
      <w:r>
        <w:rPr>
          <w:rFonts w:hint="eastAsia" w:ascii="宋体" w:hAnsi="宋体" w:cs="宋体"/>
          <w:b/>
          <w:sz w:val="52"/>
          <w:szCs w:val="52"/>
          <w:highlight w:val="none"/>
        </w:rPr>
      </w:r>
      <w:r>
        <w:rPr>
          <w:highlight w:val="none"/>
        </w:rPr>
      </w:r>
      <w:r/>
    </w:p>
    <w:p>
      <w:pPr>
        <w:pStyle w:val="1116"/>
        <w:jc w:val="center"/>
        <w:rPr>
          <w:rStyle w:val="1114"/>
          <w:rFonts w:hint="eastAsia" w:ascii="宋体" w:hAnsi="宋体" w:cs="宋体"/>
          <w:b/>
          <w:sz w:val="72"/>
          <w:szCs w:val="72"/>
          <w:highlight w:val="none"/>
        </w:rPr>
      </w:pPr>
      <w:r>
        <w:rPr>
          <w:rFonts w:hint="eastAsia" w:ascii="宋体" w:hAnsi="宋体" w:cs="宋体"/>
          <w:b/>
          <w:sz w:val="72"/>
          <w:szCs w:val="72"/>
          <w:highlight w:val="none"/>
        </w:rPr>
      </w:r>
      <w:r>
        <w:rPr>
          <w:highlight w:val="none"/>
        </w:rPr>
      </w:r>
      <w:r/>
    </w:p>
    <w:p>
      <w:pPr>
        <w:pStyle w:val="1117"/>
        <w:rPr>
          <w:rStyle w:val="1114"/>
          <w:rFonts w:hint="eastAsia" w:ascii="宋体" w:hAnsi="宋体" w:cs="宋体"/>
          <w:b/>
          <w:sz w:val="72"/>
          <w:szCs w:val="72"/>
          <w:highlight w:val="none"/>
        </w:rPr>
      </w:pPr>
      <w:r>
        <w:rPr>
          <w:rFonts w:hint="eastAsia" w:ascii="宋体" w:hAnsi="宋体" w:cs="宋体"/>
          <w:b/>
          <w:sz w:val="72"/>
          <w:szCs w:val="72"/>
          <w:highlight w:val="none"/>
        </w:rPr>
      </w:r>
      <w:r>
        <w:rPr>
          <w:highlight w:val="none"/>
        </w:rPr>
      </w:r>
      <w:r/>
    </w:p>
    <w:p>
      <w:pPr>
        <w:pStyle w:val="1117"/>
        <w:rPr>
          <w:rStyle w:val="1114"/>
          <w:rFonts w:hint="eastAsia" w:ascii="宋体" w:hAnsi="宋体" w:cs="宋体"/>
          <w:b/>
          <w:sz w:val="72"/>
          <w:szCs w:val="72"/>
          <w:highlight w:val="none"/>
        </w:rPr>
      </w:pPr>
      <w:r>
        <w:rPr>
          <w:rFonts w:hint="eastAsia" w:ascii="宋体" w:hAnsi="宋体" w:cs="宋体"/>
          <w:b/>
          <w:sz w:val="72"/>
          <w:szCs w:val="72"/>
          <w:highlight w:val="none"/>
        </w:rPr>
      </w:r>
      <w:r>
        <w:rPr>
          <w:highlight w:val="none"/>
        </w:rPr>
      </w:r>
      <w:r/>
    </w:p>
    <w:p>
      <w:pPr>
        <w:pStyle w:val="1117"/>
        <w:rPr>
          <w:rStyle w:val="1114"/>
          <w:rFonts w:hint="eastAsia" w:ascii="宋体" w:hAnsi="宋体" w:cs="宋体"/>
          <w:b/>
          <w:sz w:val="72"/>
          <w:szCs w:val="72"/>
          <w:highlight w:val="none"/>
        </w:rPr>
      </w:pPr>
      <w:r>
        <w:rPr>
          <w:rFonts w:hint="eastAsia" w:ascii="宋体" w:hAnsi="宋体" w:cs="宋体"/>
          <w:b/>
          <w:sz w:val="72"/>
          <w:szCs w:val="72"/>
          <w:highlight w:val="none"/>
        </w:rPr>
      </w:r>
      <w:r>
        <w:rPr>
          <w:highlight w:val="none"/>
        </w:rPr>
      </w:r>
      <w:r/>
    </w:p>
    <w:p>
      <w:pPr>
        <w:pStyle w:val="1117"/>
        <w:rPr>
          <w:rStyle w:val="1114"/>
          <w:rFonts w:hint="eastAsia" w:ascii="宋体" w:hAnsi="宋体" w:cs="宋体"/>
          <w:b/>
          <w:sz w:val="72"/>
          <w:szCs w:val="72"/>
          <w:highlight w:val="none"/>
        </w:rPr>
      </w:pPr>
      <w:r>
        <w:rPr>
          <w:rFonts w:hint="eastAsia" w:ascii="宋体" w:hAnsi="宋体" w:cs="宋体"/>
          <w:b/>
          <w:sz w:val="72"/>
          <w:szCs w:val="72"/>
          <w:highlight w:val="none"/>
        </w:rPr>
      </w:r>
      <w:r>
        <w:rPr>
          <w:highlight w:val="none"/>
        </w:rPr>
      </w:r>
      <w:r/>
    </w:p>
    <w:p>
      <w:pPr>
        <w:pStyle w:val="1116"/>
        <w:rPr>
          <w:rStyle w:val="1114"/>
          <w:rFonts w:hint="eastAsia" w:ascii="宋体" w:hAnsi="宋体" w:cs="宋体"/>
          <w:b/>
          <w:sz w:val="28"/>
          <w:szCs w:val="28"/>
          <w:highlight w:val="none"/>
        </w:rPr>
      </w:pPr>
      <w:r>
        <w:rPr>
          <w:rFonts w:hint="eastAsia" w:ascii="宋体" w:hAnsi="宋体" w:cs="宋体"/>
          <w:b/>
          <w:sz w:val="28"/>
          <w:szCs w:val="28"/>
          <w:highlight w:val="none"/>
        </w:rPr>
      </w:r>
      <w:r>
        <w:rPr>
          <w:highlight w:val="none"/>
        </w:rPr>
      </w:r>
      <w:r/>
    </w:p>
    <w:p>
      <w:pPr>
        <w:pStyle w:val="1116"/>
        <w:rPr>
          <w:rStyle w:val="1114"/>
          <w:rFonts w:hint="eastAsia" w:ascii="宋体" w:hAnsi="宋体" w:cs="宋体"/>
          <w:b/>
          <w:sz w:val="28"/>
          <w:szCs w:val="28"/>
          <w:highlight w:val="none"/>
        </w:rPr>
      </w:pPr>
      <w:r>
        <w:rPr>
          <w:rFonts w:hint="eastAsia" w:ascii="宋体" w:hAnsi="宋体" w:cs="宋体"/>
          <w:b/>
          <w:sz w:val="28"/>
          <w:szCs w:val="28"/>
          <w:highlight w:val="none"/>
        </w:rPr>
      </w:r>
      <w:r>
        <w:rPr>
          <w:highlight w:val="none"/>
        </w:rPr>
      </w:r>
      <w:r/>
    </w:p>
    <w:p>
      <w:pPr>
        <w:pStyle w:val="1116"/>
        <w:ind w:right="2719"/>
        <w:rPr>
          <w:rStyle w:val="1114"/>
          <w:rFonts w:hint="eastAsia" w:ascii="宋体" w:hAnsi="宋体" w:cs="宋体"/>
          <w:b/>
          <w:sz w:val="32"/>
          <w:szCs w:val="28"/>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pStyle w:val="1116"/>
                              <w:rPr>
                                <w:rStyle w:val="1114"/>
                                <w:b/>
                                <w:bCs/>
                                <w:sz w:val="32"/>
                              </w:rPr>
                            </w:pPr>
                            <w:r>
                              <w:rPr>
                                <w:rStyle w:val="1114"/>
                                <w:rFonts w:hint="eastAsia" w:ascii="Times New Roman" w:hAnsi="Times New Roman"/>
                                <w:b/>
                                <w:bCs/>
                                <w:sz w:val="32"/>
                              </w:rPr>
                              <w:t xml:space="preserve">制定</w:t>
                            </w:r>
                            <w:r/>
                          </w:p>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116"/>
                        <w:rPr>
                          <w:rStyle w:val="1114"/>
                          <w:b/>
                          <w:bCs/>
                          <w:sz w:val="32"/>
                        </w:rPr>
                      </w:pPr>
                      <w:r>
                        <w:rPr>
                          <w:rStyle w:val="1114"/>
                          <w:rFonts w:hint="eastAsia" w:ascii="Times New Roman" w:hAnsi="Times New Roman"/>
                          <w:b/>
                          <w:bCs/>
                          <w:sz w:val="32"/>
                        </w:rPr>
                        <w:t xml:space="preserve">制定</w:t>
                      </w:r>
                      <w:r/>
                    </w:p>
                    <w:p>
                      <w:r/>
                      <w:r/>
                    </w:p>
                    <w:p>
                      <w:r/>
                      <w:r/>
                    </w:p>
                  </w:txbxContent>
                </v:textbox>
              </v:shape>
            </w:pict>
          </mc:Fallback>
        </mc:AlternateContent>
      </w:r>
      <w:r>
        <w:rPr>
          <w:rStyle w:val="1114"/>
          <w:rFonts w:hint="eastAsia" w:ascii="宋体" w:hAnsi="宋体" w:cs="宋体"/>
          <w:b/>
          <w:sz w:val="32"/>
          <w:szCs w:val="28"/>
          <w:highlight w:val="none"/>
        </w:rPr>
        <w:t xml:space="preserve">住房城乡建设部</w:t>
      </w:r>
      <w:r>
        <w:rPr>
          <w:highlight w:val="none"/>
        </w:rPr>
      </w:r>
      <w:r/>
    </w:p>
    <w:p>
      <w:pPr>
        <w:pStyle w:val="1116"/>
        <w:ind w:right="2719"/>
        <w:rPr>
          <w:rStyle w:val="1114"/>
          <w:rFonts w:hint="eastAsia" w:ascii="宋体" w:hAnsi="宋体" w:cs="宋体"/>
          <w:b/>
          <w:sz w:val="32"/>
          <w:szCs w:val="28"/>
          <w:highlight w:val="none"/>
        </w:rPr>
        <w:outlineLvl w:val="1"/>
      </w:pPr>
      <w:r>
        <w:rPr>
          <w:highlight w:val="none"/>
        </w:rPr>
      </w:r>
      <w:bookmarkStart w:id="220" w:name="_Toc10670"/>
      <w:r>
        <w:rPr>
          <w:rStyle w:val="1114"/>
          <w:rFonts w:hint="eastAsia" w:ascii="宋体" w:hAnsi="宋体" w:cs="宋体"/>
          <w:b/>
          <w:sz w:val="32"/>
          <w:szCs w:val="28"/>
          <w:highlight w:val="none"/>
        </w:rPr>
        <w:t xml:space="preserve">国家工商行政管理总局</w:t>
      </w:r>
      <w:bookmarkEnd w:id="220"/>
      <w:r>
        <w:rPr>
          <w:highlight w:val="none"/>
        </w:rPr>
      </w:r>
      <w:r/>
    </w:p>
    <w:p>
      <w:pPr>
        <w:pStyle w:val="1117"/>
        <w:rPr>
          <w:highlight w:val="none"/>
        </w:rPr>
      </w:pPr>
      <w:r>
        <w:rPr>
          <w:highlight w:val="none"/>
        </w:rPr>
      </w:r>
      <w:r>
        <w:rPr>
          <w:highlight w:val="none"/>
        </w:rPr>
      </w:r>
      <w:r/>
    </w:p>
    <w:p>
      <w:pPr>
        <w:rPr>
          <w:rFonts w:hint="eastAsia" w:ascii="宋体" w:hAnsi="宋体" w:cs="宋体"/>
          <w:sz w:val="24"/>
          <w:szCs w:val="24"/>
          <w:highlight w:val="none"/>
        </w:rPr>
      </w:pPr>
      <w:r>
        <w:rPr>
          <w:rFonts w:hint="eastAsia" w:ascii="宋体" w:hAnsi="宋体" w:cs="宋体"/>
          <w:sz w:val="24"/>
          <w:szCs w:val="24"/>
          <w:highlight w:val="none"/>
          <w:lang w:val="zh-CN"/>
        </w:rPr>
      </w:r>
      <w:r>
        <w:rPr>
          <w:highlight w:val="none"/>
        </w:rPr>
      </w:r>
      <w:r/>
    </w:p>
    <w:p>
      <w:pPr>
        <w:pStyle w:val="1122"/>
        <w:ind w:firstLine="4080"/>
        <w:spacing w:before="0" w:after="0"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r>
      <w:r>
        <w:rPr>
          <w:highlight w:val="none"/>
        </w:rPr>
      </w:r>
      <w:r/>
    </w:p>
    <w:p>
      <w:pPr>
        <w:pStyle w:val="1122"/>
        <w:ind w:firstLine="4080"/>
        <w:spacing w:before="0" w:after="0"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说  明</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rPr>
          <w:highlight w:val="none"/>
        </w:rPr>
      </w:r>
      <w:r/>
    </w:p>
    <w:p>
      <w:pPr>
        <w:ind w:firstLine="480"/>
        <w:spacing w:line="300" w:lineRule="exact"/>
        <w:rPr>
          <w:rFonts w:hint="eastAsia" w:ascii="宋体" w:hAnsi="宋体" w:cs="宋体"/>
          <w:bCs/>
          <w:sz w:val="24"/>
          <w:szCs w:val="24"/>
          <w:highlight w:val="none"/>
        </w:rPr>
        <w:outlineLvl w:val="1"/>
      </w:pPr>
      <w:r>
        <w:rPr>
          <w:highlight w:val="none"/>
        </w:rPr>
      </w:r>
      <w:bookmarkStart w:id="221" w:name="_Toc30838"/>
      <w:r>
        <w:rPr>
          <w:rFonts w:hint="eastAsia" w:ascii="宋体" w:hAnsi="宋体" w:cs="宋体"/>
          <w:bCs/>
          <w:sz w:val="24"/>
          <w:szCs w:val="24"/>
          <w:highlight w:val="none"/>
        </w:rPr>
        <w:t xml:space="preserve">一、《示范文本》的组成</w:t>
      </w:r>
      <w:bookmarkEnd w:id="221"/>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《示范文本》由合同协议书、通用合同条款和专用合同条款三部分组成。</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222" w:name="_Toc27731"/>
      <w:r>
        <w:rPr>
          <w:rFonts w:hint="eastAsia" w:ascii="宋体" w:hAnsi="宋体" w:cs="宋体"/>
          <w:sz w:val="24"/>
          <w:szCs w:val="24"/>
          <w:highlight w:val="none"/>
        </w:rPr>
        <w:t xml:space="preserve">（一）合同协议书</w:t>
      </w:r>
      <w:bookmarkEnd w:id="222"/>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223" w:name="_Toc15759"/>
      <w:r>
        <w:rPr>
          <w:rFonts w:hint="eastAsia" w:ascii="宋体" w:hAnsi="宋体" w:cs="宋体"/>
          <w:sz w:val="24"/>
          <w:szCs w:val="24"/>
          <w:highlight w:val="none"/>
        </w:rPr>
        <w:t xml:space="preserve">（二）通用合同条款</w:t>
      </w:r>
      <w:bookmarkEnd w:id="223"/>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通用合同条款是合同当事人根据《中华人民共和国建筑法》、《中华人民共和国民法典》等法律法规的规定，就工程建设的实施及相关事项，对合同当事人的权利义务作出的原则性约定。</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224" w:name="_Toc6933"/>
      <w:r>
        <w:rPr>
          <w:rFonts w:hint="eastAsia" w:ascii="宋体" w:hAnsi="宋体" w:cs="宋体"/>
          <w:sz w:val="24"/>
          <w:szCs w:val="24"/>
          <w:highlight w:val="none"/>
        </w:rPr>
        <w:t xml:space="preserve">（三）专用合同条款</w:t>
      </w:r>
      <w:bookmarkEnd w:id="224"/>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highlight w:val="none"/>
        </w:rPr>
      </w:r>
      <w:r/>
    </w:p>
    <w:p>
      <w:pPr>
        <w:ind w:right="25"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1.专用合同条款的编号应与相应的通用合同条款的编号一致；</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2.合同当事人可以通过对专用合同条款的修改，满足具体建设工程的特殊要求，避免直接修改通用合同条款；</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rPr>
          <w:highlight w:val="none"/>
        </w:rPr>
      </w:r>
      <w:r/>
    </w:p>
    <w:p>
      <w:pPr>
        <w:ind w:firstLine="480"/>
        <w:spacing w:line="300" w:lineRule="exact"/>
        <w:rPr>
          <w:rFonts w:hint="eastAsia" w:ascii="宋体" w:hAnsi="宋体" w:cs="宋体"/>
          <w:b/>
          <w:sz w:val="24"/>
          <w:szCs w:val="24"/>
          <w:highlight w:val="none"/>
        </w:rPr>
        <w:outlineLvl w:val="1"/>
      </w:pPr>
      <w:r>
        <w:rPr>
          <w:highlight w:val="none"/>
        </w:rPr>
      </w:r>
      <w:bookmarkStart w:id="225" w:name="_Toc18373"/>
      <w:r>
        <w:rPr>
          <w:rFonts w:hint="eastAsia" w:ascii="宋体" w:hAnsi="宋体" w:cs="宋体"/>
          <w:bCs/>
          <w:sz w:val="24"/>
          <w:szCs w:val="24"/>
          <w:highlight w:val="none"/>
        </w:rPr>
        <w:t xml:space="preserve">二、《示范文本》的性质和适用范围</w:t>
      </w:r>
      <w:bookmarkEnd w:id="225"/>
      <w:r>
        <w:rPr>
          <w:highlight w:val="none"/>
        </w:rPr>
      </w:r>
      <w:r/>
    </w:p>
    <w:p>
      <w:pPr>
        <w:ind w:firstLine="480"/>
        <w:spacing w:line="300" w:lineRule="exact"/>
        <w:rPr>
          <w:rFonts w:hint="eastAsia" w:ascii="宋体" w:hAnsi="宋体" w:cs="宋体"/>
          <w:sz w:val="24"/>
          <w:szCs w:val="24"/>
          <w:highlight w:val="none"/>
        </w:rPr>
        <w:sectPr>
          <w:footerReference w:type="default" r:id="rId12"/>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sz w:val="24"/>
          <w:szCs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highlight w:val="none"/>
        </w:rPr>
      </w:r>
      <w:r/>
    </w:p>
    <w:p>
      <w:pPr>
        <w:ind w:firstLine="1680"/>
        <w:jc w:val="center"/>
        <w:spacing w:line="300" w:lineRule="exact"/>
        <w:rPr>
          <w:rFonts w:hint="eastAsia" w:ascii="宋体" w:hAnsi="宋体" w:cs="宋体"/>
          <w:sz w:val="24"/>
          <w:szCs w:val="24"/>
          <w:highlight w:val="none"/>
        </w:rPr>
        <w:outlineLvl w:val="0"/>
      </w:pPr>
      <w:r>
        <w:rPr>
          <w:highlight w:val="none"/>
        </w:rPr>
      </w:r>
      <w:bookmarkStart w:id="226" w:name="_Toc351203480"/>
      <w:r>
        <w:rPr>
          <w:highlight w:val="none"/>
        </w:rPr>
      </w:r>
      <w:bookmarkStart w:id="227" w:name="_Toc1818"/>
      <w:r>
        <w:rPr>
          <w:rFonts w:hint="eastAsia" w:ascii="宋体" w:hAnsi="宋体" w:cs="宋体"/>
          <w:sz w:val="24"/>
          <w:szCs w:val="24"/>
          <w:highlight w:val="none"/>
        </w:rPr>
        <w:t xml:space="preserve">第一部分 合同协议书</w:t>
      </w:r>
      <w:bookmarkEnd w:id="226"/>
      <w:r>
        <w:rPr>
          <w:highlight w:val="none"/>
        </w:rPr>
      </w:r>
      <w:bookmarkEnd w:id="227"/>
      <w:r>
        <w:rPr>
          <w:highlight w:val="none"/>
        </w:rPr>
      </w:r>
      <w:r/>
    </w:p>
    <w:p>
      <w:pPr>
        <w:spacing w:line="300" w:lineRule="exact"/>
        <w:rPr>
          <w:rFonts w:hint="eastAsia" w:ascii="宋体" w:hAnsi="宋体" w:cs="宋体"/>
          <w:b/>
          <w:sz w:val="24"/>
          <w:szCs w:val="24"/>
          <w:highlight w:val="none"/>
          <w:u w:val="single"/>
        </w:rPr>
      </w:pPr>
      <w:r>
        <w:rPr>
          <w:rFonts w:hint="eastAsia" w:ascii="宋体" w:hAnsi="宋体" w:cs="宋体"/>
          <w:b/>
          <w:sz w:val="24"/>
          <w:szCs w:val="24"/>
          <w:highlight w:val="none"/>
        </w:rPr>
        <w:t xml:space="preserve">发包人（全称）：</w:t>
      </w:r>
      <w:r>
        <w:rPr>
          <w:rFonts w:hint="eastAsia" w:ascii="宋体" w:hAnsi="宋体" w:cs="宋体"/>
          <w:b/>
          <w:sz w:val="24"/>
          <w:szCs w:val="24"/>
          <w:highlight w:val="none"/>
          <w:u w:val="single"/>
        </w:rPr>
        <w:t xml:space="preserve">      </w:t>
      </w:r>
      <w:r>
        <w:rPr>
          <w:highlight w:val="none"/>
        </w:rPr>
      </w:r>
      <w:r/>
    </w:p>
    <w:p>
      <w:pPr>
        <w:spacing w:line="300" w:lineRule="exact"/>
        <w:rPr>
          <w:rFonts w:hint="eastAsia" w:ascii="宋体" w:hAnsi="宋体" w:cs="宋体"/>
          <w:b/>
          <w:sz w:val="24"/>
          <w:szCs w:val="24"/>
          <w:highlight w:val="none"/>
          <w:u w:val="single"/>
        </w:rPr>
      </w:pPr>
      <w:r>
        <w:rPr>
          <w:rFonts w:hint="eastAsia" w:ascii="宋体" w:hAnsi="宋体" w:cs="宋体"/>
          <w:b/>
          <w:sz w:val="24"/>
          <w:szCs w:val="24"/>
          <w:highlight w:val="none"/>
        </w:rPr>
        <w:t xml:space="preserve">承包人（全称）：</w:t>
      </w:r>
      <w:r>
        <w:rPr>
          <w:rFonts w:hint="eastAsia" w:ascii="宋体" w:hAnsi="宋体" w:cs="宋体"/>
          <w:b/>
          <w:sz w:val="24"/>
          <w:szCs w:val="24"/>
          <w:highlight w:val="none"/>
          <w:u w:val="single"/>
        </w:rPr>
        <w:t xml:space="preserve">         </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根据</w:t>
      </w:r>
      <w:r>
        <w:rPr>
          <w:rStyle w:val="1114"/>
          <w:rFonts w:hint="eastAsia" w:ascii="宋体" w:hAnsi="宋体" w:cs="宋体"/>
          <w:sz w:val="24"/>
          <w:szCs w:val="24"/>
          <w:highlight w:val="none"/>
        </w:rPr>
        <w:t xml:space="preserve">《中华人民共和国民法典》</w:t>
      </w:r>
      <w:r>
        <w:rPr>
          <w:rFonts w:hint="eastAsia" w:ascii="宋体" w:hAnsi="宋体" w:cs="宋体"/>
          <w:sz w:val="24"/>
          <w:szCs w:val="24"/>
          <w:highlight w:val="none"/>
        </w:rPr>
        <w:t xml:space="preserve">、《中华人民共和国建筑法》及有关法律规定，遵循平等、自愿、公平和诚实信用的原则，双方就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工程施工及有关事项协商一致，共同达成如下协议：</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28" w:name="_Toc31066"/>
      <w:r>
        <w:rPr>
          <w:highlight w:val="none"/>
        </w:rPr>
      </w:r>
      <w:bookmarkStart w:id="229" w:name="_Toc351203481"/>
      <w:r>
        <w:rPr>
          <w:rFonts w:hint="eastAsia" w:ascii="宋体" w:hAnsi="宋体" w:cs="宋体"/>
          <w:sz w:val="24"/>
          <w:szCs w:val="24"/>
          <w:highlight w:val="none"/>
        </w:rPr>
        <w:t xml:space="preserve">一、工程概况</w:t>
      </w:r>
      <w:bookmarkEnd w:id="228"/>
      <w:r>
        <w:rPr>
          <w:highlight w:val="none"/>
        </w:rPr>
      </w:r>
      <w:bookmarkEnd w:id="229"/>
      <w:r>
        <w:rPr>
          <w:highlight w:val="none"/>
        </w:rPr>
      </w:r>
      <w:r/>
    </w:p>
    <w:p>
      <w:pPr>
        <w:ind w:firstLine="470"/>
        <w:spacing w:line="300" w:lineRule="exact"/>
        <w:rPr>
          <w:rFonts w:hint="eastAsia" w:ascii="宋体" w:hAnsi="宋体" w:cs="宋体"/>
          <w:sz w:val="24"/>
          <w:szCs w:val="24"/>
          <w:highlight w:val="none"/>
          <w:u w:val="single"/>
        </w:rPr>
      </w:pPr>
      <w:r>
        <w:rPr>
          <w:rFonts w:hint="eastAsia" w:ascii="宋体" w:hAnsi="宋体" w:cs="宋体"/>
          <w:bCs/>
          <w:sz w:val="24"/>
          <w:szCs w:val="24"/>
          <w:highlight w:val="none"/>
        </w:rPr>
        <w:t xml:space="preserve">1.工程名称</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highlight w:val="none"/>
        </w:rPr>
      </w:r>
      <w:r/>
    </w:p>
    <w:p>
      <w:pPr>
        <w:ind w:firstLine="47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2.工程地点：</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7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3.工程立项批准文号：</w:t>
      </w:r>
      <w:r>
        <w:rPr>
          <w:rFonts w:hint="eastAsia" w:ascii="宋体" w:hAnsi="宋体" w:cs="宋体"/>
          <w:sz w:val="24"/>
          <w:szCs w:val="24"/>
          <w:highlight w:val="none"/>
          <w:u w:val="single"/>
        </w:rPr>
        <w:t xml:space="preserve">             </w:t>
      </w:r>
      <w:r>
        <w:rPr>
          <w:rFonts w:hint="eastAsia" w:ascii="宋体" w:hAnsi="宋体" w:cs="宋体"/>
          <w:bCs/>
          <w:sz w:val="24"/>
          <w:szCs w:val="24"/>
          <w:highlight w:val="none"/>
        </w:rPr>
        <w:t xml:space="preserve">。</w:t>
      </w:r>
      <w:r>
        <w:rPr>
          <w:highlight w:val="none"/>
        </w:rPr>
      </w:r>
      <w:r/>
    </w:p>
    <w:p>
      <w:pPr>
        <w:ind w:firstLine="47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4.资金来源：</w:t>
      </w:r>
      <w:r>
        <w:rPr>
          <w:rFonts w:hint="eastAsia" w:ascii="宋体" w:hAnsi="宋体" w:cs="宋体"/>
          <w:sz w:val="24"/>
          <w:szCs w:val="24"/>
          <w:highlight w:val="none"/>
          <w:u w:val="single"/>
        </w:rPr>
        <w:t xml:space="preserve">               </w:t>
      </w:r>
      <w:r>
        <w:rPr>
          <w:rFonts w:hint="eastAsia" w:ascii="宋体" w:hAnsi="宋体" w:cs="宋体"/>
          <w:bCs/>
          <w:sz w:val="24"/>
          <w:szCs w:val="24"/>
          <w:highlight w:val="none"/>
        </w:rPr>
        <w:t xml:space="preserve">。</w:t>
      </w:r>
      <w:r>
        <w:rPr>
          <w:highlight w:val="none"/>
        </w:rPr>
      </w:r>
      <w:r/>
    </w:p>
    <w:p>
      <w:pPr>
        <w:ind w:firstLine="47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5.工程内容：</w:t>
      </w:r>
      <w:r>
        <w:rPr>
          <w:rFonts w:hint="eastAsia" w:ascii="宋体" w:hAnsi="宋体" w:cs="宋体"/>
          <w:sz w:val="24"/>
          <w:szCs w:val="24"/>
          <w:highlight w:val="none"/>
          <w:u w:val="single"/>
        </w:rPr>
        <w:t xml:space="preserve">                </w:t>
      </w:r>
      <w:r>
        <w:rPr>
          <w:rFonts w:hint="eastAsia" w:ascii="宋体" w:hAnsi="宋体" w:cs="宋体"/>
          <w:bCs/>
          <w:sz w:val="24"/>
          <w:szCs w:val="24"/>
          <w:highlight w:val="none"/>
        </w:rPr>
        <w:t xml:space="preserve">。</w:t>
      </w:r>
      <w:r>
        <w:rPr>
          <w:highlight w:val="none"/>
        </w:rPr>
      </w:r>
      <w:r/>
    </w:p>
    <w:p>
      <w:pPr>
        <w:ind w:firstLine="470"/>
        <w:spacing w:line="300" w:lineRule="exact"/>
        <w:rPr>
          <w:rFonts w:hint="eastAsia" w:ascii="宋体" w:hAnsi="宋体" w:cs="宋体"/>
          <w:bCs/>
          <w:sz w:val="24"/>
          <w:szCs w:val="24"/>
          <w:highlight w:val="none"/>
        </w:rPr>
      </w:pPr>
      <w:r>
        <w:rPr>
          <w:rFonts w:hint="eastAsia" w:ascii="宋体" w:hAnsi="宋体" w:cs="宋体"/>
          <w:sz w:val="24"/>
          <w:szCs w:val="24"/>
          <w:highlight w:val="none"/>
        </w:rPr>
        <w:t xml:space="preserve">群体工程应附《承包人承揽工程项目一览表》（附件1）。</w:t>
      </w:r>
      <w:r>
        <w:rPr>
          <w:highlight w:val="none"/>
        </w:rPr>
      </w:r>
      <w:r/>
    </w:p>
    <w:p>
      <w:pPr>
        <w:ind w:firstLine="470"/>
        <w:spacing w:line="300" w:lineRule="exact"/>
        <w:rPr>
          <w:rFonts w:hint="eastAsia" w:ascii="宋体" w:hAnsi="宋体" w:cs="宋体"/>
          <w:bCs/>
          <w:sz w:val="24"/>
          <w:szCs w:val="24"/>
          <w:highlight w:val="none"/>
        </w:rPr>
        <w:outlineLvl w:val="2"/>
      </w:pPr>
      <w:r>
        <w:rPr>
          <w:highlight w:val="none"/>
        </w:rPr>
      </w:r>
      <w:bookmarkStart w:id="230" w:name="_Toc20619"/>
      <w:r>
        <w:rPr>
          <w:rFonts w:hint="eastAsia" w:ascii="宋体" w:hAnsi="宋体" w:cs="宋体"/>
          <w:bCs/>
          <w:sz w:val="24"/>
          <w:szCs w:val="24"/>
          <w:highlight w:val="none"/>
        </w:rPr>
        <w:t xml:space="preserve">6.工程承包范围：</w:t>
      </w:r>
      <w:bookmarkEnd w:id="230"/>
      <w:r>
        <w:rPr>
          <w:highlight w:val="none"/>
        </w:rPr>
      </w:r>
      <w:r/>
    </w:p>
    <w:p>
      <w:pPr>
        <w:ind w:firstLine="463"/>
        <w:spacing w:line="30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31" w:name="_Toc351203482"/>
      <w:r>
        <w:rPr>
          <w:highlight w:val="none"/>
        </w:rPr>
      </w:r>
      <w:bookmarkStart w:id="232" w:name="_Toc17689"/>
      <w:r>
        <w:rPr>
          <w:rFonts w:hint="eastAsia" w:ascii="宋体" w:hAnsi="宋体" w:cs="宋体"/>
          <w:sz w:val="24"/>
          <w:szCs w:val="24"/>
          <w:highlight w:val="none"/>
        </w:rPr>
        <w:t xml:space="preserve">二、合同工期</w:t>
      </w:r>
      <w:bookmarkEnd w:id="231"/>
      <w:r>
        <w:rPr>
          <w:highlight w:val="none"/>
        </w:rPr>
      </w:r>
      <w:bookmarkEnd w:id="232"/>
      <w:r>
        <w:rPr>
          <w:highlight w:val="none"/>
        </w:rPr>
      </w:r>
      <w:r/>
    </w:p>
    <w:p>
      <w:pPr>
        <w:ind w:firstLine="459"/>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计划开工日期：</w:t>
      </w:r>
      <w:r>
        <w:rPr>
          <w:rFonts w:hint="eastAsia" w:ascii="宋体" w:hAnsi="宋体" w:cs="宋体"/>
          <w:sz w:val="24"/>
          <w:szCs w:val="24"/>
          <w:highlight w:val="none"/>
          <w:u w:val="single"/>
        </w:rPr>
        <w:t xml:space="preserve">2025</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highlight w:val="none"/>
        </w:rPr>
      </w:r>
      <w:r/>
    </w:p>
    <w:p>
      <w:pPr>
        <w:ind w:firstLine="459"/>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计划竣工日期：</w:t>
      </w:r>
      <w:r>
        <w:rPr>
          <w:rFonts w:hint="eastAsia" w:ascii="宋体" w:hAnsi="宋体" w:cs="宋体"/>
          <w:sz w:val="24"/>
          <w:szCs w:val="24"/>
          <w:highlight w:val="none"/>
          <w:u w:val="single"/>
        </w:rPr>
        <w:t xml:space="preserve">2025</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highlight w:val="none"/>
        </w:rPr>
      </w:r>
      <w:r/>
    </w:p>
    <w:p>
      <w:pPr>
        <w:ind w:firstLine="459"/>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工期总日历天数：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天。工期总日历天数与根据前述计划开竣工日期计算的工期天数不一致的，以工期总日历天数为准。</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33" w:name="_Toc351203483"/>
      <w:r>
        <w:rPr>
          <w:highlight w:val="none"/>
        </w:rPr>
      </w:r>
      <w:bookmarkStart w:id="234" w:name="_Toc11586"/>
      <w:r>
        <w:rPr>
          <w:rFonts w:hint="eastAsia" w:ascii="宋体" w:hAnsi="宋体" w:cs="宋体"/>
          <w:sz w:val="24"/>
          <w:szCs w:val="24"/>
          <w:highlight w:val="none"/>
        </w:rPr>
        <w:t xml:space="preserve">三、质量标准</w:t>
      </w:r>
      <w:bookmarkEnd w:id="233"/>
      <w:r>
        <w:rPr>
          <w:highlight w:val="none"/>
        </w:rPr>
      </w:r>
      <w:bookmarkEnd w:id="234"/>
      <w:r>
        <w:rPr>
          <w:highlight w:val="none"/>
        </w:rPr>
      </w:r>
      <w:r/>
    </w:p>
    <w:p>
      <w:pPr>
        <w:ind w:firstLine="459"/>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工程质量符合</w:t>
      </w:r>
      <w:r>
        <w:rPr>
          <w:rFonts w:hint="eastAsia" w:ascii="宋体" w:hAnsi="宋体" w:cs="宋体"/>
          <w:sz w:val="24"/>
          <w:szCs w:val="24"/>
          <w:highlight w:val="none"/>
          <w:u w:val="single"/>
        </w:rPr>
        <w:t xml:space="preserve">合格</w:t>
      </w:r>
      <w:r>
        <w:rPr>
          <w:rFonts w:hint="eastAsia" w:ascii="宋体" w:hAnsi="宋体" w:cs="宋体"/>
          <w:sz w:val="24"/>
          <w:szCs w:val="24"/>
          <w:highlight w:val="none"/>
        </w:rPr>
        <w:t xml:space="preserve">标准。</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35" w:name="_Toc18112"/>
      <w:r>
        <w:rPr>
          <w:highlight w:val="none"/>
        </w:rPr>
      </w:r>
      <w:bookmarkStart w:id="236" w:name="_Toc351203484"/>
      <w:r>
        <w:rPr>
          <w:rFonts w:hint="eastAsia" w:ascii="宋体" w:hAnsi="宋体" w:cs="宋体"/>
          <w:sz w:val="24"/>
          <w:szCs w:val="24"/>
          <w:highlight w:val="none"/>
        </w:rPr>
        <w:t xml:space="preserve">四、签约合同价与合同价格形式</w:t>
      </w:r>
      <w:bookmarkEnd w:id="235"/>
      <w:r>
        <w:rPr>
          <w:highlight w:val="none"/>
        </w:rPr>
      </w:r>
      <w:bookmarkEnd w:id="236"/>
      <w:r>
        <w:rPr>
          <w:rFonts w:hint="eastAsia" w:ascii="宋体" w:hAnsi="宋体" w:cs="宋体"/>
          <w:sz w:val="24"/>
          <w:szCs w:val="24"/>
          <w:highlight w:val="none"/>
        </w:rPr>
        <w:tab/>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237" w:name="_Toc23047"/>
      <w:r>
        <w:rPr>
          <w:rFonts w:hint="eastAsia" w:ascii="宋体" w:hAnsi="宋体" w:cs="宋体"/>
          <w:sz w:val="24"/>
          <w:szCs w:val="24"/>
          <w:highlight w:val="none"/>
        </w:rPr>
        <w:t xml:space="preserve">1.签约合同价为：</w:t>
      </w:r>
      <w:bookmarkEnd w:id="237"/>
      <w:r>
        <w:rPr>
          <w:highlight w:val="none"/>
        </w:rPr>
      </w:r>
      <w:r/>
    </w:p>
    <w:p>
      <w:pPr>
        <w:ind w:firstLine="60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其中：</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（1）安全文明施工费：</w:t>
      </w:r>
      <w:r>
        <w:rPr>
          <w:highlight w:val="none"/>
        </w:rPr>
      </w:r>
      <w:r/>
    </w:p>
    <w:p>
      <w:pPr>
        <w:ind w:firstLine="10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（2）材料和工程设备暂估价金额：</w:t>
      </w:r>
      <w:r>
        <w:rPr>
          <w:highlight w:val="none"/>
        </w:rPr>
      </w:r>
      <w:r/>
    </w:p>
    <w:p>
      <w:pPr>
        <w:ind w:firstLine="10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（3）专业工程暂估价金额：</w:t>
      </w:r>
      <w:r>
        <w:rPr>
          <w:highlight w:val="none"/>
        </w:rPr>
      </w:r>
      <w:r/>
    </w:p>
    <w:p>
      <w:pPr>
        <w:ind w:firstLine="10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（4）暂列金额：</w:t>
      </w:r>
      <w:r>
        <w:rPr>
          <w:highlight w:val="none"/>
        </w:rPr>
      </w:r>
      <w:r/>
    </w:p>
    <w:p>
      <w:pPr>
        <w:ind w:firstLine="10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2.合同价格形式：</w:t>
      </w:r>
      <w:r>
        <w:rPr>
          <w:rFonts w:hint="eastAsia" w:ascii="宋体" w:hAnsi="宋体" w:cs="宋体"/>
          <w:sz w:val="24"/>
          <w:szCs w:val="24"/>
          <w:highlight w:val="none"/>
          <w:u w:val="single"/>
        </w:rPr>
        <w:t xml:space="preserve">固定综合单价        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38" w:name="_Toc351203485"/>
      <w:r>
        <w:rPr>
          <w:highlight w:val="none"/>
        </w:rPr>
      </w:r>
      <w:bookmarkStart w:id="239" w:name="_Toc16346"/>
      <w:r>
        <w:rPr>
          <w:rFonts w:hint="eastAsia" w:ascii="宋体" w:hAnsi="宋体" w:cs="宋体"/>
          <w:sz w:val="24"/>
          <w:szCs w:val="24"/>
          <w:highlight w:val="none"/>
        </w:rPr>
        <w:t xml:space="preserve">五、</w:t>
      </w:r>
      <w:bookmarkEnd w:id="238"/>
      <w:r>
        <w:rPr>
          <w:rFonts w:hint="eastAsia" w:ascii="宋体" w:hAnsi="宋体" w:cs="宋体"/>
          <w:sz w:val="24"/>
          <w:szCs w:val="24"/>
          <w:highlight w:val="none"/>
        </w:rPr>
        <w:t xml:space="preserve">项目经理</w:t>
      </w:r>
      <w:bookmarkEnd w:id="239"/>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承包人项目经理：</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40" w:name="_Toc12957"/>
      <w:r>
        <w:rPr>
          <w:highlight w:val="none"/>
        </w:rPr>
      </w:r>
      <w:bookmarkStart w:id="241" w:name="_Toc351203486"/>
      <w:r>
        <w:rPr>
          <w:rFonts w:hint="eastAsia" w:ascii="宋体" w:hAnsi="宋体" w:cs="宋体"/>
          <w:sz w:val="24"/>
          <w:szCs w:val="24"/>
          <w:highlight w:val="none"/>
        </w:rPr>
        <w:t xml:space="preserve">六、合同文件构成</w:t>
      </w:r>
      <w:bookmarkEnd w:id="240"/>
      <w:r>
        <w:rPr>
          <w:highlight w:val="none"/>
        </w:rPr>
      </w:r>
      <w:bookmarkEnd w:id="241"/>
      <w:r>
        <w:rPr>
          <w:highlight w:val="none"/>
        </w:rPr>
      </w:r>
      <w:r/>
    </w:p>
    <w:p>
      <w:pPr>
        <w:ind w:firstLine="48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本协议书与下列文件一起构成合同文件：</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（1）中标通知书（如果有）；</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（2）投标函及其附录（如果有）； </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（3）专用合同条款及其附件；</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（4）通用合同条款；</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（5）技术标准和要求；</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（6）图纸；</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（7）已标价工程量清单或预算书；</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（8）其他合同文件。</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在合同订立及履行过程中形成的与合同有关的文件均构成合同文件组成部分。</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42" w:name="_Toc351203487"/>
      <w:r>
        <w:rPr>
          <w:highlight w:val="none"/>
        </w:rPr>
      </w:r>
      <w:bookmarkStart w:id="243" w:name="_Toc9236"/>
      <w:r>
        <w:rPr>
          <w:rFonts w:hint="eastAsia" w:ascii="宋体" w:hAnsi="宋体" w:cs="宋体"/>
          <w:sz w:val="24"/>
          <w:szCs w:val="24"/>
          <w:highlight w:val="none"/>
        </w:rPr>
        <w:t xml:space="preserve">七、承诺</w:t>
      </w:r>
      <w:bookmarkEnd w:id="242"/>
      <w:r>
        <w:rPr>
          <w:highlight w:val="none"/>
        </w:rPr>
      </w:r>
      <w:bookmarkEnd w:id="243"/>
      <w:r>
        <w:rPr>
          <w:highlight w:val="none"/>
        </w:rPr>
      </w:r>
      <w:r/>
    </w:p>
    <w:p>
      <w:pPr>
        <w:ind w:firstLine="48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1.发包人承诺按照法律规定履行项目审批手续、筹集工程建设资金并按照合同约定的期限和方式支付合同价款。</w:t>
      </w:r>
      <w:r>
        <w:rPr>
          <w:highlight w:val="none"/>
        </w:rPr>
      </w:r>
      <w:r/>
    </w:p>
    <w:p>
      <w:pPr>
        <w:ind w:firstLine="48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highlight w:val="none"/>
        </w:rPr>
      </w:r>
      <w:r/>
    </w:p>
    <w:p>
      <w:pPr>
        <w:ind w:firstLine="48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3.发包人和承包人通过招投标形式签订合同的，双方理解并承诺不再就同一工程另行签订与合同实质性内容相背离的协议。</w:t>
      </w:r>
      <w:r>
        <w:rPr>
          <w:highlight w:val="none"/>
        </w:rPr>
      </w:r>
      <w:r/>
    </w:p>
    <w:p>
      <w:pPr>
        <w:spacing w:line="300" w:lineRule="exact"/>
        <w:rPr>
          <w:rFonts w:hint="eastAsia" w:ascii="宋体" w:hAnsi="宋体" w:cs="宋体"/>
          <w:bCs/>
          <w:sz w:val="24"/>
          <w:szCs w:val="24"/>
          <w:highlight w:val="none"/>
        </w:rPr>
        <w:outlineLvl w:val="1"/>
      </w:pPr>
      <w:r>
        <w:rPr>
          <w:highlight w:val="none"/>
        </w:rPr>
      </w:r>
      <w:bookmarkStart w:id="244" w:name="_Toc351203488"/>
      <w:r>
        <w:rPr>
          <w:rFonts w:hint="eastAsia" w:ascii="宋体" w:hAnsi="宋体" w:cs="宋体"/>
          <w:b/>
          <w:sz w:val="24"/>
          <w:szCs w:val="24"/>
          <w:highlight w:val="none"/>
        </w:rPr>
        <w:t xml:space="preserve">    </w:t>
      </w:r>
      <w:bookmarkStart w:id="245" w:name="_Toc3872"/>
      <w:r>
        <w:rPr>
          <w:rFonts w:hint="eastAsia" w:ascii="宋体" w:hAnsi="宋体" w:cs="宋体"/>
          <w:b/>
          <w:sz w:val="24"/>
          <w:szCs w:val="24"/>
          <w:highlight w:val="none"/>
        </w:rPr>
        <w:t xml:space="preserve">八、词语含义</w:t>
      </w:r>
      <w:bookmarkEnd w:id="244"/>
      <w:r>
        <w:rPr>
          <w:highlight w:val="none"/>
        </w:rPr>
      </w:r>
      <w:bookmarkEnd w:id="245"/>
      <w:r>
        <w:rPr>
          <w:highlight w:val="none"/>
        </w:rPr>
      </w:r>
      <w:r/>
    </w:p>
    <w:p>
      <w:pPr>
        <w:ind w:firstLine="48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本协议书中词语含义与第二部分通用合同条款中赋予的含义相同。</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46" w:name="_Toc351203489"/>
      <w:r>
        <w:rPr>
          <w:highlight w:val="none"/>
        </w:rPr>
      </w:r>
      <w:bookmarkStart w:id="247" w:name="_Toc31127"/>
      <w:r>
        <w:rPr>
          <w:rFonts w:hint="eastAsia" w:ascii="宋体" w:hAnsi="宋体" w:cs="宋体"/>
          <w:sz w:val="24"/>
          <w:szCs w:val="24"/>
          <w:highlight w:val="none"/>
        </w:rPr>
        <w:t xml:space="preserve">九、签订时间</w:t>
      </w:r>
      <w:bookmarkEnd w:id="246"/>
      <w:r>
        <w:rPr>
          <w:highlight w:val="none"/>
        </w:rPr>
      </w:r>
      <w:bookmarkEnd w:id="247"/>
      <w:r>
        <w:rPr>
          <w:highlight w:val="none"/>
        </w:rPr>
      </w:r>
      <w:r/>
    </w:p>
    <w:p>
      <w:pPr>
        <w:ind w:firstLine="48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本合同于</w:t>
      </w:r>
      <w:r>
        <w:rPr>
          <w:rFonts w:hint="eastAsia" w:ascii="宋体" w:hAnsi="宋体" w:cs="宋体"/>
          <w:bCs/>
          <w:sz w:val="24"/>
          <w:szCs w:val="24"/>
          <w:highlight w:val="none"/>
          <w:u w:val="single"/>
        </w:rPr>
        <w:t xml:space="preserve">  2025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日签订。</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48" w:name="_Toc351203490"/>
      <w:r>
        <w:rPr>
          <w:highlight w:val="none"/>
        </w:rPr>
      </w:r>
      <w:bookmarkStart w:id="249" w:name="_Toc14736"/>
      <w:r>
        <w:rPr>
          <w:rFonts w:hint="eastAsia" w:ascii="宋体" w:hAnsi="宋体" w:cs="宋体"/>
          <w:sz w:val="24"/>
          <w:szCs w:val="24"/>
          <w:highlight w:val="none"/>
        </w:rPr>
        <w:t xml:space="preserve">十、签订地点</w:t>
      </w:r>
      <w:bookmarkEnd w:id="248"/>
      <w:r>
        <w:rPr>
          <w:highlight w:val="none"/>
        </w:rPr>
      </w:r>
      <w:bookmarkEnd w:id="249"/>
      <w:r>
        <w:rPr>
          <w:highlight w:val="none"/>
        </w:rPr>
      </w:r>
      <w:r/>
    </w:p>
    <w:p>
      <w:pPr>
        <w:ind w:firstLine="48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本合同在</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签订。</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50" w:name="_Toc351203491"/>
      <w:r>
        <w:rPr>
          <w:highlight w:val="none"/>
        </w:rPr>
      </w:r>
      <w:bookmarkStart w:id="251" w:name="_Toc13560"/>
      <w:r>
        <w:rPr>
          <w:rFonts w:hint="eastAsia" w:ascii="宋体" w:hAnsi="宋体" w:cs="宋体"/>
          <w:sz w:val="24"/>
          <w:szCs w:val="24"/>
          <w:highlight w:val="none"/>
        </w:rPr>
        <w:t xml:space="preserve">十一、补充协议</w:t>
      </w:r>
      <w:bookmarkEnd w:id="250"/>
      <w:r>
        <w:rPr>
          <w:highlight w:val="none"/>
        </w:rPr>
      </w:r>
      <w:bookmarkEnd w:id="251"/>
      <w:r>
        <w:rPr>
          <w:highlight w:val="none"/>
        </w:rPr>
      </w:r>
      <w:r/>
    </w:p>
    <w:p>
      <w:pPr>
        <w:ind w:firstLine="480"/>
        <w:spacing w:line="300" w:lineRule="exact"/>
        <w:rPr>
          <w:rFonts w:hint="eastAsia" w:ascii="宋体" w:hAnsi="宋体" w:cs="宋体"/>
          <w:b/>
          <w:bCs/>
          <w:sz w:val="24"/>
          <w:szCs w:val="24"/>
          <w:highlight w:val="none"/>
        </w:rPr>
      </w:pPr>
      <w:r>
        <w:rPr>
          <w:rFonts w:hint="eastAsia" w:ascii="宋体" w:hAnsi="宋体" w:cs="宋体"/>
          <w:bCs/>
          <w:sz w:val="24"/>
          <w:szCs w:val="24"/>
          <w:highlight w:val="none"/>
        </w:rPr>
        <w:t xml:space="preserve">合同未尽事宜，合同当事人另行签订补充协议，补充协议是合同的组成部分。</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52" w:name="_Toc9340"/>
      <w:r>
        <w:rPr>
          <w:highlight w:val="none"/>
        </w:rPr>
      </w:r>
      <w:bookmarkStart w:id="253" w:name="_Toc351203492"/>
      <w:r>
        <w:rPr>
          <w:rFonts w:hint="eastAsia" w:ascii="宋体" w:hAnsi="宋体" w:cs="宋体"/>
          <w:sz w:val="24"/>
          <w:szCs w:val="24"/>
          <w:highlight w:val="none"/>
        </w:rPr>
        <w:t xml:space="preserve">十二、合同生效</w:t>
      </w:r>
      <w:bookmarkEnd w:id="252"/>
      <w:r>
        <w:rPr>
          <w:highlight w:val="none"/>
        </w:rPr>
      </w:r>
      <w:bookmarkEnd w:id="253"/>
      <w:r>
        <w:rPr>
          <w:highlight w:val="none"/>
        </w:rPr>
      </w:r>
      <w:r/>
    </w:p>
    <w:p>
      <w:pPr>
        <w:ind w:firstLine="48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本合同自</w:t>
      </w:r>
      <w:r>
        <w:rPr>
          <w:rFonts w:hint="eastAsia" w:ascii="宋体" w:hAnsi="宋体" w:cs="宋体"/>
          <w:bCs/>
          <w:sz w:val="24"/>
          <w:szCs w:val="24"/>
          <w:highlight w:val="none"/>
          <w:u w:val="single"/>
        </w:rPr>
        <w:t xml:space="preserve">     签订之日          </w:t>
      </w:r>
      <w:r>
        <w:rPr>
          <w:rFonts w:hint="eastAsia" w:ascii="宋体" w:hAnsi="宋体" w:cs="宋体"/>
          <w:bCs/>
          <w:sz w:val="24"/>
          <w:szCs w:val="24"/>
          <w:highlight w:val="none"/>
        </w:rPr>
        <w:t xml:space="preserve">生效。</w:t>
      </w:r>
      <w:r>
        <w:rPr>
          <w:highlight w:val="none"/>
        </w:rPr>
      </w:r>
      <w:r/>
    </w:p>
    <w:p>
      <w:pPr>
        <w:spacing w:line="30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    </w:t>
      </w:r>
      <w:bookmarkStart w:id="254" w:name="_Toc13737"/>
      <w:r>
        <w:rPr>
          <w:highlight w:val="none"/>
        </w:rPr>
      </w:r>
      <w:bookmarkStart w:id="255" w:name="_Toc351203493"/>
      <w:r>
        <w:rPr>
          <w:rFonts w:hint="eastAsia" w:ascii="宋体" w:hAnsi="宋体" w:cs="宋体"/>
          <w:sz w:val="24"/>
          <w:szCs w:val="24"/>
          <w:highlight w:val="none"/>
        </w:rPr>
        <w:t xml:space="preserve">十三、合同份数</w:t>
      </w:r>
      <w:bookmarkEnd w:id="254"/>
      <w:r>
        <w:rPr>
          <w:highlight w:val="none"/>
        </w:rPr>
      </w:r>
      <w:bookmarkEnd w:id="255"/>
      <w:r>
        <w:rPr>
          <w:highlight w:val="none"/>
        </w:rPr>
      </w:r>
      <w:r/>
    </w:p>
    <w:p>
      <w:pPr>
        <w:ind w:firstLine="480"/>
        <w:spacing w:line="3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本合同一式</w:t>
      </w:r>
      <w:r>
        <w:rPr>
          <w:rFonts w:hint="eastAsia" w:ascii="宋体" w:hAnsi="宋体" w:cs="宋体"/>
          <w:bCs/>
          <w:sz w:val="24"/>
          <w:szCs w:val="24"/>
          <w:highlight w:val="none"/>
          <w:u w:val="single"/>
        </w:rPr>
        <w:t xml:space="preserve"> 陆 </w:t>
      </w:r>
      <w:r>
        <w:rPr>
          <w:rFonts w:hint="eastAsia" w:ascii="宋体" w:hAnsi="宋体" w:cs="宋体"/>
          <w:bCs/>
          <w:sz w:val="24"/>
          <w:szCs w:val="24"/>
          <w:highlight w:val="none"/>
        </w:rPr>
        <w:t xml:space="preserve">份，均具有同等法律效力，发包人执</w:t>
      </w:r>
      <w:r>
        <w:rPr>
          <w:rFonts w:hint="eastAsia" w:ascii="宋体" w:hAnsi="宋体" w:cs="宋体"/>
          <w:bCs/>
          <w:sz w:val="24"/>
          <w:szCs w:val="24"/>
          <w:highlight w:val="none"/>
          <w:u w:val="single"/>
        </w:rPr>
        <w:t xml:space="preserve"> 叁 </w:t>
      </w:r>
      <w:r>
        <w:rPr>
          <w:rFonts w:hint="eastAsia" w:ascii="宋体" w:hAnsi="宋体" w:cs="宋体"/>
          <w:bCs/>
          <w:sz w:val="24"/>
          <w:szCs w:val="24"/>
          <w:highlight w:val="none"/>
        </w:rPr>
        <w:t xml:space="preserve">份，承包人执</w:t>
      </w:r>
      <w:r>
        <w:rPr>
          <w:rFonts w:hint="eastAsia" w:ascii="宋体" w:hAnsi="宋体" w:cs="宋体"/>
          <w:bCs/>
          <w:sz w:val="24"/>
          <w:szCs w:val="24"/>
          <w:highlight w:val="none"/>
          <w:u w:val="single"/>
        </w:rPr>
        <w:t xml:space="preserve"> 叁 </w:t>
      </w:r>
      <w:r>
        <w:rPr>
          <w:rFonts w:hint="eastAsia" w:ascii="宋体" w:hAnsi="宋体" w:cs="宋体"/>
          <w:bCs/>
          <w:sz w:val="24"/>
          <w:szCs w:val="24"/>
          <w:highlight w:val="none"/>
        </w:rPr>
        <w:t xml:space="preserve">份。</w:t>
      </w:r>
      <w:r>
        <w:rPr>
          <w:highlight w:val="none"/>
        </w:rPr>
      </w:r>
      <w:r/>
    </w:p>
    <w:p>
      <w:pPr>
        <w:spacing w:line="300" w:lineRule="exac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p>
      <w:pPr>
        <w:spacing w:line="300" w:lineRule="exac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p>
      <w:pPr>
        <w:spacing w:line="300" w:lineRule="exac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  (公章)             承包人：  (公章)</w:t>
      </w:r>
      <w:r>
        <w:rPr>
          <w:highlight w:val="none"/>
        </w:rPr>
      </w:r>
      <w:r/>
    </w:p>
    <w:p>
      <w:pPr>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                                 </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法定代表人或其委托代理人：  法定代表人或其委托代理人：</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（签字）                    （签字）</w:t>
      </w:r>
      <w:r>
        <w:rPr>
          <w:highlight w:val="none"/>
        </w:rPr>
      </w:r>
      <w:r/>
    </w:p>
    <w:p>
      <w:pPr>
        <w:spacing w:line="300" w:lineRule="exact"/>
        <w:rPr>
          <w:rFonts w:hint="eastAsia" w:ascii="宋体" w:hAnsi="宋体" w:cs="宋体"/>
          <w:sz w:val="24"/>
          <w:szCs w:val="24"/>
          <w:highlight w:val="none"/>
          <w:u w:val="single"/>
        </w:rPr>
      </w:pPr>
      <w:r>
        <w:rPr>
          <w:rFonts w:hint="eastAsia" w:ascii="宋体" w:hAnsi="宋体" w:cs="宋体"/>
          <w:sz w:val="24"/>
          <w:szCs w:val="24"/>
          <w:highlight w:val="none"/>
          <w:u w:val="single"/>
        </w:rPr>
      </w:r>
      <w:r>
        <w:rPr>
          <w:highlight w:val="none"/>
        </w:rPr>
      </w:r>
      <w:r/>
    </w:p>
    <w:p>
      <w:pPr>
        <w:spacing w:line="300" w:lineRule="exact"/>
        <w:tabs>
          <w:tab w:val="left" w:pos="4410" w:leader="none"/>
        </w:tabs>
        <w:rPr>
          <w:rFonts w:hint="eastAsia" w:ascii="宋体" w:hAnsi="宋体" w:cs="宋体"/>
          <w:sz w:val="24"/>
          <w:szCs w:val="24"/>
          <w:highlight w:val="none"/>
        </w:rPr>
      </w:pPr>
      <w:r>
        <w:rPr>
          <w:rFonts w:hint="eastAsia" w:ascii="宋体" w:hAnsi="宋体" w:cs="宋体"/>
          <w:sz w:val="24"/>
          <w:szCs w:val="24"/>
          <w:highlight w:val="none"/>
        </w:rPr>
        <w:t xml:space="preserve">组织机构代码：</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组织机构代码：</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地  址：</w:t>
      </w:r>
      <w:r>
        <w:rPr>
          <w:rFonts w:hint="eastAsia" w:ascii="宋体" w:hAnsi="宋体" w:cs="宋体"/>
          <w:sz w:val="24"/>
          <w:szCs w:val="24"/>
          <w:highlight w:val="none"/>
          <w:u w:val="single"/>
        </w:rPr>
        <w:t xml:space="preserve">        </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邮政编码：</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  邮政编码：</w:t>
      </w:r>
      <w:r>
        <w:rPr>
          <w:rFonts w:hint="eastAsia" w:ascii="宋体" w:hAnsi="宋体" w:cs="宋体"/>
          <w:sz w:val="24"/>
          <w:szCs w:val="24"/>
          <w:highlight w:val="none"/>
          <w:u w:val="single"/>
        </w:rPr>
        <w:t xml:space="preserve">   </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法定代表人：</w:t>
      </w:r>
      <w:r>
        <w:rPr>
          <w:rFonts w:hint="eastAsia" w:ascii="宋体" w:hAnsi="宋体" w:cs="宋体"/>
          <w:sz w:val="24"/>
          <w:szCs w:val="24"/>
          <w:highlight w:val="none"/>
          <w:u w:val="single"/>
        </w:rPr>
        <w:t xml:space="preserve">             </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委托代理人：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委托代理人：</w:t>
      </w:r>
      <w:r>
        <w:rPr>
          <w:rFonts w:hint="eastAsia" w:ascii="宋体" w:hAnsi="宋体" w:cs="宋体"/>
          <w:sz w:val="24"/>
          <w:szCs w:val="24"/>
          <w:highlight w:val="none"/>
          <w:u w:val="single"/>
        </w:rPr>
        <w:t xml:space="preserve">             </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电  话：</w:t>
      </w:r>
      <w:r>
        <w:rPr>
          <w:rFonts w:hint="eastAsia" w:ascii="宋体" w:hAnsi="宋体" w:cs="宋体"/>
          <w:sz w:val="24"/>
          <w:szCs w:val="24"/>
          <w:highlight w:val="none"/>
          <w:u w:val="single"/>
        </w:rPr>
        <w:t xml:space="preserve">     </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传  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传  真：</w:t>
      </w:r>
      <w:r>
        <w:rPr>
          <w:rFonts w:hint="eastAsia" w:ascii="宋体" w:hAnsi="宋体" w:cs="宋体"/>
          <w:sz w:val="24"/>
          <w:szCs w:val="24"/>
          <w:highlight w:val="none"/>
          <w:u w:val="single"/>
        </w:rPr>
        <w:t xml:space="preserve">     </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电子信箱：</w:t>
      </w:r>
      <w:r>
        <w:rPr>
          <w:rFonts w:hint="eastAsia" w:ascii="宋体" w:hAnsi="宋体" w:cs="宋体"/>
          <w:sz w:val="24"/>
          <w:szCs w:val="24"/>
          <w:highlight w:val="none"/>
          <w:u w:val="single"/>
        </w:rPr>
        <w:t xml:space="preserve">   </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开户银行：</w:t>
      </w:r>
      <w:r>
        <w:rPr>
          <w:rFonts w:hint="eastAsia" w:ascii="宋体" w:hAnsi="宋体" w:cs="宋体"/>
          <w:sz w:val="24"/>
          <w:szCs w:val="24"/>
          <w:highlight w:val="none"/>
          <w:u w:val="single"/>
        </w:rPr>
        <w:t xml:space="preserve">   </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账  号：</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账  号：</w:t>
      </w:r>
      <w:r>
        <w:rPr>
          <w:rFonts w:hint="eastAsia" w:ascii="宋体" w:hAnsi="宋体" w:cs="宋体"/>
          <w:sz w:val="24"/>
          <w:szCs w:val="24"/>
          <w:highlight w:val="none"/>
          <w:u w:val="single"/>
        </w:rPr>
        <w:t xml:space="preserve">     </w:t>
      </w:r>
      <w:r>
        <w:rPr>
          <w:highlight w:val="none"/>
        </w:rPr>
      </w:r>
      <w:r/>
    </w:p>
    <w:p>
      <w:pPr>
        <w:jc w:val="center"/>
        <w:spacing w:line="300" w:lineRule="exact"/>
        <w:rPr>
          <w:rFonts w:hint="eastAsia" w:ascii="宋体" w:hAnsi="宋体" w:cs="宋体"/>
          <w:sz w:val="24"/>
          <w:szCs w:val="24"/>
          <w:highlight w:val="none"/>
        </w:rPr>
        <w:outlineLvl w:val="0"/>
      </w:pPr>
      <w:r>
        <w:rPr>
          <w:rFonts w:hint="eastAsia" w:ascii="宋体" w:hAnsi="宋体" w:cs="宋体"/>
          <w:sz w:val="24"/>
          <w:szCs w:val="24"/>
          <w:highlight w:val="none"/>
        </w:rPr>
        <w:br w:type="page" w:clear="all"/>
      </w:r>
      <w:bookmarkStart w:id="256" w:name="_Toc5156"/>
      <w:r>
        <w:rPr>
          <w:highlight w:val="none"/>
        </w:rPr>
      </w:r>
      <w:bookmarkStart w:id="257" w:name="_Toc351203494"/>
      <w:r>
        <w:rPr>
          <w:rFonts w:hint="eastAsia" w:ascii="宋体" w:hAnsi="宋体" w:cs="宋体"/>
          <w:sz w:val="24"/>
          <w:szCs w:val="24"/>
          <w:highlight w:val="none"/>
        </w:rPr>
        <w:t xml:space="preserve">第二部分 通用合同条款</w:t>
      </w:r>
      <w:bookmarkEnd w:id="256"/>
      <w:r>
        <w:rPr>
          <w:highlight w:val="none"/>
        </w:rPr>
      </w:r>
      <w:bookmarkEnd w:id="257"/>
      <w:r>
        <w:rPr>
          <w:highlight w:val="none"/>
        </w:rPr>
      </w:r>
      <w:bookmarkStart w:id="258" w:name="_Toc337558727"/>
      <w:r>
        <w:rPr>
          <w:highlight w:val="none"/>
        </w:rPr>
      </w:r>
      <w:r/>
    </w:p>
    <w:p>
      <w:pPr>
        <w:ind w:firstLine="482"/>
        <w:jc w:val="left"/>
        <w:spacing w:line="300" w:lineRule="exact"/>
        <w:rPr>
          <w:rFonts w:hint="eastAsia" w:ascii="宋体" w:hAnsi="宋体" w:cs="宋体"/>
          <w:sz w:val="24"/>
          <w:szCs w:val="24"/>
          <w:highlight w:val="none"/>
        </w:rPr>
      </w:pPr>
      <w:r>
        <w:rPr>
          <w:highlight w:val="none"/>
        </w:rPr>
      </w:r>
      <w:bookmarkStart w:id="259" w:name="_Toc351203495"/>
      <w:r>
        <w:rPr>
          <w:rFonts w:hint="eastAsia" w:ascii="宋体" w:hAnsi="宋体" w:cs="宋体"/>
          <w:b/>
          <w:sz w:val="24"/>
          <w:szCs w:val="24"/>
          <w:highlight w:val="none"/>
        </w:rPr>
        <w:t xml:space="preserve">采用《建设工程施工合同（示范文本）》（GF—2017—0201）</w:t>
      </w:r>
      <w:r>
        <w:rPr>
          <w:rFonts w:hint="eastAsia" w:ascii="宋体" w:hAnsi="宋体" w:cs="宋体"/>
          <w:sz w:val="24"/>
          <w:szCs w:val="24"/>
          <w:highlight w:val="none"/>
        </w:rPr>
        <w:t xml:space="preserve"> </w:t>
      </w:r>
      <w:bookmarkEnd w:id="258"/>
      <w:r>
        <w:rPr>
          <w:highlight w:val="none"/>
        </w:rPr>
      </w:r>
      <w:bookmarkEnd w:id="259"/>
      <w:r>
        <w:rPr>
          <w:highlight w:val="none"/>
        </w:rPr>
      </w:r>
      <w:bookmarkStart w:id="260" w:name="_Toc351203632"/>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ind w:firstLine="1200"/>
        <w:jc w:val="left"/>
        <w:spacing w:line="300" w:lineRule="exact"/>
        <w:rPr>
          <w:rFonts w:hint="eastAsia" w:ascii="宋体" w:hAnsi="宋体" w:cs="宋体"/>
          <w:sz w:val="24"/>
          <w:szCs w:val="24"/>
          <w:highlight w:val="none"/>
        </w:rPr>
        <w:outlineLvl w:val="0"/>
      </w:pPr>
      <w:r>
        <w:rPr>
          <w:highlight w:val="none"/>
        </w:rPr>
      </w:r>
      <w:bookmarkStart w:id="261" w:name="_Toc28449"/>
      <w:r>
        <w:rPr>
          <w:rFonts w:hint="eastAsia" w:ascii="宋体" w:hAnsi="宋体" w:cs="宋体"/>
          <w:sz w:val="24"/>
          <w:szCs w:val="24"/>
          <w:highlight w:val="none"/>
        </w:rPr>
        <w:t xml:space="preserve">第三部分 专用合同条款</w:t>
      </w:r>
      <w:bookmarkEnd w:id="260"/>
      <w:r>
        <w:rPr>
          <w:highlight w:val="none"/>
        </w:rPr>
      </w:r>
      <w:bookmarkEnd w:id="261"/>
      <w:r>
        <w:rPr>
          <w:highlight w:val="none"/>
        </w:rPr>
      </w:r>
      <w:r/>
    </w:p>
    <w:p>
      <w:pPr>
        <w:spacing w:line="300" w:lineRule="exact"/>
        <w:rPr>
          <w:rFonts w:hint="eastAsia" w:ascii="宋体" w:hAnsi="宋体" w:cs="宋体"/>
          <w:sz w:val="24"/>
          <w:szCs w:val="24"/>
          <w:highlight w:val="none"/>
        </w:rPr>
        <w:outlineLvl w:val="1"/>
      </w:pPr>
      <w:r>
        <w:rPr>
          <w:highlight w:val="none"/>
        </w:rPr>
      </w:r>
      <w:bookmarkStart w:id="262" w:name="_Toc13708"/>
      <w:r>
        <w:rPr>
          <w:highlight w:val="none"/>
        </w:rPr>
      </w:r>
      <w:bookmarkStart w:id="263" w:name="_Toc351203633"/>
      <w:r>
        <w:rPr>
          <w:rFonts w:hint="eastAsia" w:ascii="宋体" w:hAnsi="宋体" w:cs="宋体"/>
          <w:sz w:val="24"/>
          <w:szCs w:val="24"/>
          <w:highlight w:val="none"/>
        </w:rPr>
        <w:t xml:space="preserve">1</w:t>
      </w:r>
      <w:bookmarkStart w:id="264" w:name="_Toc296890984"/>
      <w:r>
        <w:rPr>
          <w:highlight w:val="none"/>
        </w:rPr>
      </w:r>
      <w:bookmarkStart w:id="265" w:name="_Toc296503156"/>
      <w:r>
        <w:rPr>
          <w:highlight w:val="none"/>
        </w:rPr>
      </w:r>
      <w:bookmarkStart w:id="266" w:name="_Toc292559866"/>
      <w:r>
        <w:rPr>
          <w:highlight w:val="none"/>
        </w:rPr>
      </w:r>
      <w:bookmarkStart w:id="267" w:name="_Toc297120456"/>
      <w:r>
        <w:rPr>
          <w:highlight w:val="none"/>
        </w:rPr>
      </w:r>
      <w:bookmarkStart w:id="268" w:name="_Toc296891196"/>
      <w:r>
        <w:rPr>
          <w:highlight w:val="none"/>
        </w:rPr>
      </w:r>
      <w:bookmarkStart w:id="269" w:name="_Toc296346657"/>
      <w:r>
        <w:rPr>
          <w:highlight w:val="none"/>
        </w:rPr>
      </w:r>
      <w:bookmarkStart w:id="270" w:name="_Toc296944495"/>
      <w:r>
        <w:rPr>
          <w:highlight w:val="none"/>
        </w:rPr>
      </w:r>
      <w:bookmarkStart w:id="271" w:name="_Toc297048342"/>
      <w:r>
        <w:rPr>
          <w:highlight w:val="none"/>
        </w:rPr>
      </w:r>
      <w:bookmarkStart w:id="272" w:name="_Toc292559361"/>
      <w:r>
        <w:rPr>
          <w:highlight w:val="none"/>
        </w:rPr>
      </w:r>
      <w:bookmarkStart w:id="273" w:name="_Toc296347155"/>
      <w:r>
        <w:rPr>
          <w:rFonts w:hint="eastAsia" w:ascii="宋体" w:hAnsi="宋体" w:cs="宋体"/>
          <w:sz w:val="24"/>
          <w:szCs w:val="24"/>
          <w:highlight w:val="none"/>
        </w:rPr>
        <w:t xml:space="preserve">. 一般约定</w:t>
      </w:r>
      <w:bookmarkEnd w:id="262"/>
      <w:r>
        <w:rPr>
          <w:highlight w:val="none"/>
        </w:rPr>
      </w:r>
      <w:bookmarkEnd w:id="263"/>
      <w:r>
        <w:rPr>
          <w:highlight w:val="none"/>
        </w:rPr>
      </w:r>
      <w:bookmarkEnd w:id="264"/>
      <w:r>
        <w:rPr>
          <w:highlight w:val="none"/>
        </w:rPr>
      </w:r>
      <w:bookmarkEnd w:id="265"/>
      <w:r>
        <w:rPr>
          <w:highlight w:val="none"/>
        </w:rPr>
      </w:r>
      <w:bookmarkEnd w:id="266"/>
      <w:r>
        <w:rPr>
          <w:highlight w:val="none"/>
        </w:rPr>
      </w:r>
      <w:bookmarkEnd w:id="267"/>
      <w:r>
        <w:rPr>
          <w:highlight w:val="none"/>
        </w:rPr>
      </w:r>
      <w:bookmarkEnd w:id="268"/>
      <w:r>
        <w:rPr>
          <w:highlight w:val="none"/>
        </w:rPr>
      </w:r>
      <w:bookmarkEnd w:id="269"/>
      <w:r>
        <w:rPr>
          <w:highlight w:val="none"/>
        </w:rPr>
      </w:r>
      <w:bookmarkEnd w:id="270"/>
      <w:r>
        <w:rPr>
          <w:highlight w:val="none"/>
        </w:rPr>
      </w:r>
      <w:bookmarkEnd w:id="271"/>
      <w:r>
        <w:rPr>
          <w:highlight w:val="none"/>
        </w:rPr>
      </w:r>
      <w:bookmarkEnd w:id="272"/>
      <w:r>
        <w:rPr>
          <w:highlight w:val="none"/>
        </w:rPr>
      </w:r>
      <w:bookmarkEnd w:id="273"/>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274" w:name="_Toc27667"/>
      <w:r>
        <w:rPr>
          <w:rFonts w:hint="eastAsia" w:ascii="宋体" w:hAnsi="宋体" w:cs="宋体"/>
          <w:sz w:val="24"/>
          <w:szCs w:val="24"/>
          <w:highlight w:val="none"/>
        </w:rPr>
        <w:t xml:space="preserve">1.1 词语定义</w:t>
      </w:r>
      <w:bookmarkEnd w:id="274"/>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1.1.1合同</w:t>
      </w:r>
      <w:r>
        <w:rPr>
          <w:highlight w:val="none"/>
        </w:rPr>
      </w:r>
      <w:r/>
    </w:p>
    <w:p>
      <w:pPr>
        <w:ind w:left="1650" w:hanging="132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1.1.1.10其他合同文件包括：</w:t>
      </w:r>
      <w:r>
        <w:rPr>
          <w:rFonts w:hint="eastAsia" w:ascii="宋体" w:hAnsi="宋体" w:cs="宋体"/>
          <w:sz w:val="24"/>
          <w:szCs w:val="24"/>
          <w:highlight w:val="none"/>
          <w:u w:val="single"/>
        </w:rPr>
        <w:t xml:space="preserve"></w:t>
      </w:r>
      <w:bookmarkStart w:id="275" w:name="EB7824a48e646e4dceb1ec64d924b42458"/>
      <w:r>
        <w:rPr>
          <w:rFonts w:hint="eastAsia" w:ascii="宋体" w:hAnsi="宋体" w:cs="宋体"/>
          <w:sz w:val="24"/>
          <w:szCs w:val="24"/>
          <w:highlight w:val="none"/>
          <w:u w:val="single"/>
        </w:rPr>
        <w:t xml:space="preserve">工程质量保修书</w:t>
      </w:r>
      <w:bookmarkEnd w:id="275"/>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1.1.2 合同当事人及其他相关方</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1.1.2.4监理人：</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资质类别和等级：</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1.1.2.5 设计人：</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资质类别和等级：</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1.1.3 工程和设备</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1.1.3.7 作为施工现场组成部分的其他场所包括：</w:t>
      </w:r>
      <w:r>
        <w:rPr>
          <w:rFonts w:hint="eastAsia" w:ascii="宋体" w:hAnsi="宋体" w:cs="宋体"/>
          <w:sz w:val="24"/>
          <w:szCs w:val="24"/>
          <w:highlight w:val="none"/>
          <w:u w:val="single"/>
        </w:rPr>
        <w:t xml:space="preserve"> </w:t>
      </w:r>
      <w:bookmarkStart w:id="276" w:name="EB8b1000229bcb4675af85ffccb59ba7ca"/>
      <w:r>
        <w:rPr>
          <w:rFonts w:hint="eastAsia" w:ascii="宋体" w:hAnsi="宋体" w:cs="宋体"/>
          <w:sz w:val="24"/>
          <w:szCs w:val="24"/>
          <w:highlight w:val="none"/>
          <w:u w:val="single"/>
        </w:rPr>
        <w:t xml:space="preserve">厕临时办公用房、工人宿舍、食堂、库房、临时厕所、加工房、材料堆场等</w:t>
      </w:r>
      <w:bookmarkEnd w:id="276"/>
      <w:r>
        <w:rPr>
          <w:rFonts w:hint="eastAsia" w:ascii="宋体" w:hAnsi="宋体" w:cs="宋体"/>
          <w:sz w:val="24"/>
          <w:szCs w:val="24"/>
          <w:highlight w:val="none"/>
          <w:u w:val="singl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1.1.3.9 永久占地包括：</w:t>
      </w:r>
      <w:r>
        <w:rPr>
          <w:rFonts w:hint="eastAsia" w:ascii="宋体" w:hAnsi="宋体" w:cs="宋体"/>
          <w:sz w:val="24"/>
          <w:szCs w:val="24"/>
          <w:highlight w:val="none"/>
          <w:u w:val="single"/>
        </w:rPr>
        <w:t xml:space="preserve">                       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1.1.3.10 临时占地包括：</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277" w:name="_Toc15194"/>
      <w:r>
        <w:rPr>
          <w:rFonts w:hint="eastAsia" w:ascii="宋体" w:hAnsi="宋体" w:cs="宋体"/>
          <w:sz w:val="24"/>
          <w:szCs w:val="24"/>
          <w:highlight w:val="none"/>
        </w:rPr>
        <w:t xml:space="preserve">1.3法律</w:t>
      </w:r>
      <w:bookmarkEnd w:id="277"/>
      <w:r>
        <w:rPr>
          <w:rFonts w:hint="eastAsia" w:ascii="宋体" w:hAnsi="宋体" w:cs="宋体"/>
          <w:sz w:val="24"/>
          <w:szCs w:val="24"/>
          <w:highlight w:val="none"/>
        </w:rPr>
        <w:t xml:space="preserve"> </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适用于合同的其他规范性文件：</w:t>
      </w:r>
      <w:bookmarkStart w:id="278" w:name="EB77d2e2b0ca6f45c7a93f33105f3add4a"/>
      <w:r>
        <w:rPr>
          <w:rFonts w:hint="eastAsia" w:ascii="宋体" w:hAnsi="宋体" w:cs="宋体"/>
          <w:sz w:val="24"/>
          <w:szCs w:val="24"/>
          <w:highlight w:val="none"/>
          <w:u w:val="single"/>
        </w:rPr>
        <w:t xml:space="preserve">《中华人民共和国民法典》 、 《中华人民共和国建筑法》 、 《中华人民共和国招标投标法》</w:t>
      </w:r>
      <w:bookmarkEnd w:id="278"/>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279" w:name="_Toc1119"/>
      <w:r>
        <w:rPr>
          <w:rFonts w:hint="eastAsia" w:ascii="宋体" w:hAnsi="宋体" w:cs="宋体"/>
          <w:sz w:val="24"/>
          <w:szCs w:val="24"/>
          <w:highlight w:val="none"/>
        </w:rPr>
        <w:t xml:space="preserve">1.4 标准和规范</w:t>
      </w:r>
      <w:bookmarkEnd w:id="279"/>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1.4.1适用于工程的标准规范包括：</w:t>
      </w:r>
      <w:r>
        <w:rPr>
          <w:rFonts w:hint="eastAsia" w:ascii="宋体" w:hAnsi="宋体" w:cs="宋体"/>
          <w:sz w:val="24"/>
          <w:szCs w:val="24"/>
          <w:highlight w:val="none"/>
          <w:u w:val="single"/>
        </w:rPr>
        <w:t xml:space="preserve">《建筑工程质量管理条例》 、 《江苏省建筑市场管理条例》</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1.4.2 发包人提供国外标准、规范的名称：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发包人提供国外标准、规范的份数：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发包人提供国外标准、规范的名称：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left="596"/>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1.4.3发包人对工程的技术标准和功能要求的特殊要求：</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280" w:name="_Toc5750"/>
      <w:r>
        <w:rPr>
          <w:rFonts w:hint="eastAsia" w:ascii="宋体" w:hAnsi="宋体" w:cs="宋体"/>
          <w:sz w:val="24"/>
          <w:szCs w:val="24"/>
          <w:highlight w:val="none"/>
        </w:rPr>
        <w:t xml:space="preserve">1.5 合同文件的优先顺序</w:t>
      </w:r>
      <w:bookmarkEnd w:id="280"/>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合同文件组成及优先顺序为：</w:t>
      </w:r>
      <w:bookmarkStart w:id="281" w:name="EB3cba480e09e745a0a0d82e04826771f9"/>
      <w:r>
        <w:rPr>
          <w:rFonts w:hint="eastAsia" w:ascii="宋体" w:hAnsi="宋体" w:cs="宋体"/>
          <w:sz w:val="24"/>
          <w:szCs w:val="24"/>
          <w:highlight w:val="none"/>
          <w:u w:val="single"/>
        </w:rPr>
        <w:t xml:space="preserve">执行通用条款</w:t>
      </w:r>
      <w:bookmarkEnd w:id="281"/>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282" w:name="_Toc9133"/>
      <w:r>
        <w:rPr>
          <w:rFonts w:hint="eastAsia" w:ascii="宋体" w:hAnsi="宋体" w:cs="宋体"/>
          <w:sz w:val="24"/>
          <w:szCs w:val="24"/>
          <w:highlight w:val="none"/>
        </w:rPr>
        <w:t xml:space="preserve">1.6 图纸和承包人文件</w:t>
      </w:r>
      <w:bookmarkEnd w:id="282"/>
      <w:r>
        <w:rPr>
          <w:rFonts w:hint="eastAsia" w:ascii="宋体" w:hAnsi="宋体" w:cs="宋体"/>
          <w:sz w:val="24"/>
          <w:szCs w:val="24"/>
          <w:highlight w:val="none"/>
        </w:rPr>
        <w:tab/>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1.6.1 图纸的提供</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发包人向承包人提供图纸的期限：</w:t>
      </w:r>
      <w:bookmarkStart w:id="283" w:name="EBc44507fe32484ee7b79344e0512362e2"/>
      <w:r>
        <w:rPr>
          <w:rFonts w:hint="eastAsia" w:ascii="宋体" w:hAnsi="宋体" w:cs="宋体"/>
          <w:sz w:val="24"/>
          <w:szCs w:val="24"/>
          <w:highlight w:val="none"/>
          <w:u w:val="single"/>
        </w:rPr>
        <w:t xml:space="preserve">开工日期前 14 天</w:t>
      </w:r>
      <w:bookmarkEnd w:id="283"/>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发包人向承包人提供图纸的数量</w:t>
      </w:r>
      <w:r>
        <w:rPr>
          <w:rFonts w:hint="eastAsia" w:ascii="宋体" w:hAnsi="宋体" w:cs="宋体"/>
          <w:sz w:val="24"/>
          <w:szCs w:val="24"/>
          <w:highlight w:val="none"/>
          <w:u w:val="single"/>
        </w:rPr>
        <w:t xml:space="preserve">：</w:t>
      </w:r>
      <w:bookmarkStart w:id="284" w:name="EBa0944f81754f4a9f86037cb5db47a0c2"/>
      <w:r>
        <w:rPr>
          <w:rFonts w:hint="eastAsia" w:ascii="宋体" w:hAnsi="宋体" w:cs="宋体"/>
          <w:sz w:val="24"/>
          <w:szCs w:val="24"/>
          <w:highlight w:val="none"/>
          <w:u w:val="single"/>
        </w:rPr>
        <w:t xml:space="preserve">陆套</w:t>
      </w:r>
      <w:bookmarkEnd w:id="284"/>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发包人向承包人提供图纸的内容：</w:t>
      </w:r>
      <w:r>
        <w:rPr>
          <w:rFonts w:hint="eastAsia" w:ascii="宋体" w:hAnsi="宋体" w:cs="宋体"/>
          <w:sz w:val="24"/>
          <w:szCs w:val="24"/>
          <w:highlight w:val="none"/>
          <w:u w:val="single"/>
        </w:rPr>
        <w:t xml:space="preserve">工程量清单上的全部内容</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1.6.4 承包人文件</w:t>
      </w:r>
      <w:r>
        <w:rPr>
          <w:highlight w:val="none"/>
        </w:rPr>
      </w:r>
      <w:r/>
    </w:p>
    <w:p>
      <w:pPr>
        <w:ind w:left="596"/>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需要由承包人提供的文件，包括：</w:t>
      </w:r>
      <w:bookmarkStart w:id="285" w:name="EB8d734352d39d4c4e86dfdd8e54e5cd53"/>
      <w:r>
        <w:rPr>
          <w:rFonts w:hint="eastAsia" w:ascii="宋体" w:hAnsi="宋体" w:cs="宋体"/>
          <w:sz w:val="24"/>
          <w:szCs w:val="24"/>
          <w:highlight w:val="none"/>
          <w:u w:val="single"/>
        </w:rPr>
        <w:t xml:space="preserve">施工组织设计、施工总进度计划、施工总布置图、主要施工方法和措施</w:t>
      </w:r>
      <w:bookmarkEnd w:id="285"/>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承包人提供的文件的期限为：</w:t>
      </w:r>
      <w:r>
        <w:rPr>
          <w:rFonts w:hint="eastAsia" w:ascii="宋体" w:hAnsi="宋体" w:cs="宋体"/>
          <w:sz w:val="24"/>
          <w:szCs w:val="24"/>
          <w:highlight w:val="none"/>
          <w:u w:val="single"/>
        </w:rPr>
        <w:t xml:space="preserve">开工前7天</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承包人提供的文件的数量为：</w:t>
      </w:r>
      <w:r>
        <w:rPr>
          <w:rFonts w:hint="eastAsia" w:ascii="宋体" w:hAnsi="宋体" w:cs="宋体"/>
          <w:sz w:val="24"/>
          <w:szCs w:val="24"/>
          <w:highlight w:val="none"/>
          <w:u w:val="single"/>
        </w:rPr>
        <w:t xml:space="preserve">贰份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承包人提供的文件的形式为：</w:t>
      </w:r>
      <w:r>
        <w:rPr>
          <w:rFonts w:hint="eastAsia" w:ascii="宋体" w:hAnsi="宋体" w:cs="宋体"/>
          <w:sz w:val="24"/>
          <w:szCs w:val="24"/>
          <w:highlight w:val="none"/>
          <w:u w:val="single"/>
        </w:rPr>
        <w:t xml:space="preserve">书面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发包人审批承包人文件的期限：</w:t>
      </w:r>
      <w:r>
        <w:rPr>
          <w:rFonts w:hint="eastAsia" w:ascii="宋体" w:hAnsi="宋体" w:cs="宋体"/>
          <w:sz w:val="24"/>
          <w:szCs w:val="24"/>
          <w:highlight w:val="none"/>
          <w:u w:val="single"/>
        </w:rPr>
        <w:t xml:space="preserve">开工前3天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1.6.5 现场图纸准备</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关于现场图纸准备的约定：</w:t>
      </w:r>
      <w:bookmarkStart w:id="286" w:name="EBb28623e362704b0384a8ddb466f0bbb9"/>
      <w:r>
        <w:rPr>
          <w:rFonts w:hint="eastAsia" w:ascii="宋体" w:hAnsi="宋体" w:cs="宋体"/>
          <w:sz w:val="24"/>
          <w:szCs w:val="24"/>
          <w:highlight w:val="none"/>
        </w:rPr>
        <w:t xml:space="preserve">开工进场前 14 天提供施工图</w:t>
      </w:r>
      <w:bookmarkEnd w:id="286"/>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287" w:name="_Toc20671"/>
      <w:r>
        <w:rPr>
          <w:rFonts w:hint="eastAsia" w:ascii="宋体" w:hAnsi="宋体" w:cs="宋体"/>
          <w:sz w:val="24"/>
          <w:szCs w:val="24"/>
          <w:highlight w:val="none"/>
        </w:rPr>
        <w:t xml:space="preserve">1.7 联络</w:t>
      </w:r>
      <w:bookmarkEnd w:id="287"/>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1.7.1发包人和承包人应当在</w:t>
      </w:r>
      <w:r>
        <w:rPr>
          <w:rFonts w:hint="eastAsia" w:ascii="宋体" w:hAnsi="宋体" w:cs="宋体"/>
          <w:sz w:val="24"/>
          <w:szCs w:val="24"/>
          <w:highlight w:val="none"/>
          <w:u w:val="single"/>
        </w:rPr>
        <w:t xml:space="preserve"> 3   </w:t>
      </w:r>
      <w:r>
        <w:rPr>
          <w:rFonts w:hint="eastAsia" w:ascii="宋体" w:hAnsi="宋体" w:cs="宋体"/>
          <w:sz w:val="24"/>
          <w:szCs w:val="24"/>
          <w:highlight w:val="none"/>
        </w:rPr>
        <w:t xml:space="preserve">天内将与合同有关的通知、批准、证明、证书、指示、指令、要求、请求、同意、意见、确定和决定等书面函件送达对方当事人。</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1.7.2 发包人接收文件的地点：</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发包人指定的接收人为：</w:t>
      </w:r>
      <w:r>
        <w:rPr>
          <w:rFonts w:hint="eastAsia" w:ascii="宋体" w:hAnsi="宋体" w:cs="宋体"/>
          <w:sz w:val="24"/>
          <w:szCs w:val="24"/>
          <w:highlight w:val="none"/>
          <w:u w:val="single"/>
        </w:rPr>
        <w:t xml:space="preserve"> 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承包人接收文件的地点：</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承包人指定的接收人为：</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监理人接收文件的地点：</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监理人指定的接收人为：</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288" w:name="_Toc11735"/>
      <w:r>
        <w:rPr>
          <w:rFonts w:hint="eastAsia" w:ascii="宋体" w:hAnsi="宋体" w:cs="宋体"/>
          <w:sz w:val="24"/>
          <w:szCs w:val="24"/>
          <w:highlight w:val="none"/>
        </w:rPr>
        <w:t xml:space="preserve">1.10 交通运输</w:t>
      </w:r>
      <w:bookmarkEnd w:id="288"/>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w:t>
      </w:r>
      <w:bookmarkStart w:id="289" w:name="_Toc303539100"/>
      <w:r>
        <w:rPr>
          <w:highlight w:val="none"/>
        </w:rPr>
      </w:r>
      <w:bookmarkStart w:id="290" w:name="_Toc318581155"/>
      <w:r>
        <w:rPr>
          <w:highlight w:val="none"/>
        </w:rPr>
      </w:r>
      <w:bookmarkStart w:id="291" w:name="_Toc300934943"/>
      <w:r>
        <w:rPr>
          <w:highlight w:val="none"/>
        </w:rPr>
      </w:r>
      <w:bookmarkStart w:id="292" w:name="_Toc304295521"/>
      <w:r>
        <w:rPr>
          <w:highlight w:val="none"/>
        </w:rPr>
      </w:r>
      <w:bookmarkStart w:id="293" w:name="_Toc312677986"/>
      <w:r>
        <w:rPr>
          <w:rFonts w:hint="eastAsia" w:ascii="宋体" w:hAnsi="宋体" w:cs="宋体"/>
          <w:sz w:val="24"/>
          <w:szCs w:val="24"/>
          <w:highlight w:val="none"/>
        </w:rPr>
        <w:t xml:space="preserve">.10.1 出入现场的权利</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关于出入现场的权利的约定：</w:t>
      </w:r>
      <w:r>
        <w:rPr>
          <w:rFonts w:hint="eastAsia" w:ascii="宋体" w:hAnsi="宋体" w:cs="宋体"/>
          <w:sz w:val="24"/>
          <w:szCs w:val="24"/>
          <w:highlight w:val="none"/>
          <w:u w:val="single"/>
        </w:rPr>
        <w:t xml:space="preserve"></w:t>
      </w:r>
      <w:bookmarkStart w:id="294" w:name="EBfe401d2fa1794a04a7c0fb1bc2803d57"/>
      <w:r>
        <w:rPr>
          <w:rFonts w:hint="eastAsia" w:ascii="宋体" w:hAnsi="宋体" w:cs="宋体"/>
          <w:sz w:val="24"/>
          <w:szCs w:val="24"/>
          <w:highlight w:val="none"/>
        </w:rPr>
        <w:t xml:space="preserve">执行通用条款</w:t>
      </w:r>
      <w:bookmarkEnd w:id="294"/>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bookmarkEnd w:id="289"/>
      <w:r>
        <w:rPr>
          <w:highlight w:val="none"/>
        </w:rPr>
      </w:r>
      <w:bookmarkEnd w:id="290"/>
      <w:r>
        <w:rPr>
          <w:highlight w:val="none"/>
        </w:rPr>
      </w:r>
      <w:bookmarkEnd w:id="291"/>
      <w:r>
        <w:rPr>
          <w:highlight w:val="none"/>
        </w:rPr>
      </w:r>
      <w:bookmarkEnd w:id="292"/>
      <w:r>
        <w:rPr>
          <w:highlight w:val="none"/>
        </w:rPr>
      </w:r>
      <w:bookmarkEnd w:id="293"/>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w:t>
      </w:r>
      <w:bookmarkStart w:id="295" w:name="_Toc303539101"/>
      <w:r>
        <w:rPr>
          <w:highlight w:val="none"/>
        </w:rPr>
      </w:r>
      <w:bookmarkStart w:id="296" w:name="_Toc312677987"/>
      <w:r>
        <w:rPr>
          <w:highlight w:val="none"/>
        </w:rPr>
      </w:r>
      <w:bookmarkStart w:id="297" w:name="_Toc318581156"/>
      <w:r>
        <w:rPr>
          <w:highlight w:val="none"/>
        </w:rPr>
      </w:r>
      <w:bookmarkStart w:id="298" w:name="_Toc300934944"/>
      <w:r>
        <w:rPr>
          <w:highlight w:val="none"/>
        </w:rPr>
      </w:r>
      <w:bookmarkStart w:id="299" w:name="_Toc304295522"/>
      <w:r>
        <w:rPr>
          <w:rFonts w:hint="eastAsia" w:ascii="宋体" w:hAnsi="宋体" w:cs="宋体"/>
          <w:sz w:val="24"/>
          <w:szCs w:val="24"/>
          <w:highlight w:val="none"/>
        </w:rPr>
        <w:t xml:space="preserve">.10.3 场内交通</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关于场外交通和场内交通的边界的约定：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关于发包人向承包人免费提供满足工程施工需要的场内道路和交通设施的约定：执行通用条款</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bookmarkEnd w:id="295"/>
      <w:r>
        <w:rPr>
          <w:highlight w:val="none"/>
        </w:rPr>
      </w:r>
      <w:bookmarkEnd w:id="296"/>
      <w:r>
        <w:rPr>
          <w:highlight w:val="none"/>
        </w:rPr>
      </w:r>
      <w:bookmarkEnd w:id="297"/>
      <w:r>
        <w:rPr>
          <w:highlight w:val="none"/>
        </w:rPr>
      </w:r>
      <w:bookmarkEnd w:id="298"/>
      <w:r>
        <w:rPr>
          <w:highlight w:val="none"/>
        </w:rPr>
      </w:r>
      <w:bookmarkEnd w:id="299"/>
      <w:r>
        <w:rPr>
          <w:rFonts w:hint="eastAsia" w:ascii="宋体" w:hAnsi="宋体" w:cs="宋体"/>
          <w:sz w:val="24"/>
          <w:szCs w:val="24"/>
          <w:highlight w:val="none"/>
        </w:rPr>
        <w:t xml:space="preserve">  </w:t>
      </w:r>
      <w:bookmarkStart w:id="300" w:name="_Toc318581157"/>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1.10.4超大件和超重件的运输</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运输超大件或超重件所需的道路和桥梁临时加固改造费用和其他有关费用由</w:t>
      </w:r>
      <w:r>
        <w:rPr>
          <w:rFonts w:hint="eastAsia" w:ascii="宋体" w:hAnsi="宋体" w:cs="宋体"/>
          <w:sz w:val="24"/>
          <w:szCs w:val="24"/>
          <w:highlight w:val="none"/>
          <w:u w:val="single"/>
        </w:rPr>
        <w:t xml:space="preserve">   </w:t>
      </w:r>
      <w:bookmarkStart w:id="301" w:name="EB674d34c17e004a0d97b71f7f9b9a4873"/>
      <w:r>
        <w:rPr>
          <w:rFonts w:hint="eastAsia" w:ascii="宋体" w:hAnsi="宋体" w:cs="宋体"/>
          <w:sz w:val="24"/>
          <w:szCs w:val="24"/>
          <w:highlight w:val="none"/>
        </w:rPr>
        <w:t xml:space="preserve">承包人</w:t>
      </w:r>
      <w:bookmarkEnd w:id="301"/>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承担。</w:t>
      </w:r>
      <w:bookmarkEnd w:id="300"/>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302" w:name="_Toc595"/>
      <w:r>
        <w:rPr>
          <w:rFonts w:hint="eastAsia" w:ascii="宋体" w:hAnsi="宋体" w:cs="宋体"/>
          <w:sz w:val="24"/>
          <w:szCs w:val="24"/>
          <w:highlight w:val="none"/>
        </w:rPr>
        <w:t xml:space="preserve">1.11 知识产权</w:t>
      </w:r>
      <w:bookmarkEnd w:id="302"/>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4"/>
          <w:highlight w:val="none"/>
          <w:u w:val="single"/>
        </w:rPr>
        <w:t xml:space="preserve">执行通用条款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关于发包人提供的上述文件的使用限制的要求：</w:t>
      </w:r>
      <w:bookmarkStart w:id="303" w:name="EB041caba0e1b64ab4b8c7af8d390a93cf"/>
      <w:r>
        <w:rPr>
          <w:rFonts w:hint="eastAsia" w:ascii="宋体" w:hAnsi="宋体" w:cs="宋体"/>
          <w:sz w:val="24"/>
          <w:szCs w:val="24"/>
          <w:highlight w:val="none"/>
          <w:u w:val="single"/>
        </w:rPr>
        <w:t xml:space="preserve">执行通用条款</w:t>
      </w:r>
      <w:bookmarkEnd w:id="303"/>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1.11.2 关于承包人为实施工程所编制文件的著作权的归属：</w:t>
      </w:r>
      <w:r>
        <w:rPr>
          <w:rFonts w:hint="eastAsia" w:ascii="宋体" w:hAnsi="宋体" w:cs="宋体"/>
          <w:sz w:val="24"/>
          <w:szCs w:val="24"/>
          <w:highlight w:val="none"/>
          <w:u w:val="single"/>
        </w:rPr>
        <w:t xml:space="preserve">执行通用条款。</w:t>
      </w:r>
      <w:r>
        <w:rPr>
          <w:highlight w:val="none"/>
        </w:rPr>
      </w:r>
      <w:r/>
    </w:p>
    <w:p>
      <w:pPr>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关于承包人提供的上述文件的使用限制的要求：</w:t>
      </w:r>
      <w:r>
        <w:rPr>
          <w:rFonts w:hint="eastAsia" w:ascii="宋体" w:hAnsi="宋体" w:cs="宋体"/>
          <w:sz w:val="24"/>
          <w:szCs w:val="24"/>
          <w:highlight w:val="none"/>
          <w:u w:val="single"/>
        </w:rPr>
        <w:t xml:space="preserve">执行通用条款。</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1.11.4 承包人在施工过程中所采用的专利、专有技术、技术秘密的使用费的承担方式：</w:t>
      </w:r>
      <w:r>
        <w:rPr>
          <w:rFonts w:hint="eastAsia" w:ascii="宋体" w:hAnsi="宋体" w:cs="宋体"/>
          <w:sz w:val="24"/>
          <w:szCs w:val="24"/>
          <w:highlight w:val="none"/>
          <w:u w:val="single"/>
        </w:rPr>
        <w:t xml:space="preserve">执行通用条款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304" w:name="_Toc14210"/>
      <w:r>
        <w:rPr>
          <w:rFonts w:hint="eastAsia" w:ascii="宋体" w:hAnsi="宋体" w:cs="宋体"/>
          <w:sz w:val="24"/>
          <w:szCs w:val="24"/>
          <w:highlight w:val="none"/>
        </w:rPr>
        <w:t xml:space="preserve">1.13工程量清单错误的修正</w:t>
      </w:r>
      <w:bookmarkEnd w:id="304"/>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出现工程量清单错误时，是否调整合同价格：</w:t>
      </w:r>
      <w:r>
        <w:rPr>
          <w:rFonts w:hint="eastAsia" w:ascii="宋体" w:hAnsi="宋体" w:cs="宋体"/>
          <w:sz w:val="24"/>
          <w:szCs w:val="24"/>
          <w:highlight w:val="none"/>
          <w:u w:val="single"/>
        </w:rPr>
        <w:t xml:space="preserve">执行通用条款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允许调整合同价格的工程量偏差范围：</w:t>
      </w:r>
      <w:r>
        <w:rPr>
          <w:rFonts w:hint="eastAsia" w:ascii="宋体" w:hAnsi="宋体" w:cs="宋体"/>
          <w:sz w:val="24"/>
          <w:szCs w:val="24"/>
          <w:highlight w:val="none"/>
          <w:u w:val="single"/>
        </w:rPr>
        <w:t xml:space="preserve">执行通用条款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outlineLvl w:val="1"/>
      </w:pPr>
      <w:r>
        <w:rPr>
          <w:highlight w:val="none"/>
        </w:rPr>
      </w:r>
      <w:bookmarkStart w:id="305" w:name="_Toc24129"/>
      <w:r>
        <w:rPr>
          <w:highlight w:val="none"/>
        </w:rPr>
      </w:r>
      <w:bookmarkStart w:id="306" w:name="_Toc351203634"/>
      <w:r>
        <w:rPr>
          <w:rFonts w:hint="eastAsia" w:ascii="宋体" w:hAnsi="宋体" w:cs="宋体"/>
          <w:sz w:val="24"/>
          <w:szCs w:val="24"/>
          <w:highlight w:val="none"/>
        </w:rPr>
        <w:t xml:space="preserve">2</w:t>
      </w:r>
      <w:bookmarkStart w:id="307" w:name="_Toc296890985"/>
      <w:r>
        <w:rPr>
          <w:highlight w:val="none"/>
        </w:rPr>
      </w:r>
      <w:bookmarkStart w:id="308" w:name="_Toc296944496"/>
      <w:r>
        <w:rPr>
          <w:highlight w:val="none"/>
        </w:rPr>
      </w:r>
      <w:bookmarkStart w:id="309" w:name="_Toc297120457"/>
      <w:r>
        <w:rPr>
          <w:highlight w:val="none"/>
        </w:rPr>
      </w:r>
      <w:bookmarkStart w:id="310" w:name="_Toc296503157"/>
      <w:r>
        <w:rPr>
          <w:highlight w:val="none"/>
        </w:rPr>
      </w:r>
      <w:bookmarkStart w:id="311" w:name="_Toc296891197"/>
      <w:r>
        <w:rPr>
          <w:highlight w:val="none"/>
        </w:rPr>
      </w:r>
      <w:bookmarkStart w:id="312" w:name="_Toc296346658"/>
      <w:r>
        <w:rPr>
          <w:highlight w:val="none"/>
        </w:rPr>
      </w:r>
      <w:bookmarkStart w:id="313" w:name="_Toc296347156"/>
      <w:r>
        <w:rPr>
          <w:highlight w:val="none"/>
        </w:rPr>
      </w:r>
      <w:bookmarkStart w:id="314" w:name="_Toc297048343"/>
      <w:r>
        <w:rPr>
          <w:highlight w:val="none"/>
        </w:rPr>
      </w:r>
      <w:bookmarkStart w:id="315" w:name="_Toc292559867"/>
      <w:r>
        <w:rPr>
          <w:highlight w:val="none"/>
        </w:rPr>
      </w:r>
      <w:bookmarkStart w:id="316" w:name="_Toc292559362"/>
      <w:r>
        <w:rPr>
          <w:rFonts w:hint="eastAsia" w:ascii="宋体" w:hAnsi="宋体" w:cs="宋体"/>
          <w:sz w:val="24"/>
          <w:szCs w:val="24"/>
          <w:highlight w:val="none"/>
        </w:rPr>
        <w:t xml:space="preserve">. 发包人</w:t>
      </w:r>
      <w:bookmarkEnd w:id="305"/>
      <w:r>
        <w:rPr>
          <w:highlight w:val="none"/>
        </w:rPr>
      </w:r>
      <w:bookmarkEnd w:id="306"/>
      <w:r>
        <w:rPr>
          <w:highlight w:val="none"/>
        </w:rPr>
      </w:r>
      <w:bookmarkEnd w:id="307"/>
      <w:r>
        <w:rPr>
          <w:highlight w:val="none"/>
        </w:rPr>
      </w:r>
      <w:bookmarkEnd w:id="308"/>
      <w:r>
        <w:rPr>
          <w:highlight w:val="none"/>
        </w:rPr>
      </w:r>
      <w:bookmarkEnd w:id="309"/>
      <w:r>
        <w:rPr>
          <w:highlight w:val="none"/>
        </w:rPr>
      </w:r>
      <w:bookmarkEnd w:id="310"/>
      <w:r>
        <w:rPr>
          <w:highlight w:val="none"/>
        </w:rPr>
      </w:r>
      <w:bookmarkEnd w:id="311"/>
      <w:r>
        <w:rPr>
          <w:highlight w:val="none"/>
        </w:rPr>
      </w:r>
      <w:bookmarkEnd w:id="312"/>
      <w:r>
        <w:rPr>
          <w:highlight w:val="none"/>
        </w:rPr>
      </w:r>
      <w:bookmarkEnd w:id="313"/>
      <w:r>
        <w:rPr>
          <w:highlight w:val="none"/>
        </w:rPr>
      </w:r>
      <w:bookmarkEnd w:id="314"/>
      <w:r>
        <w:rPr>
          <w:highlight w:val="none"/>
        </w:rPr>
      </w:r>
      <w:bookmarkEnd w:id="315"/>
      <w:r>
        <w:rPr>
          <w:highlight w:val="none"/>
        </w:rPr>
      </w:r>
      <w:bookmarkEnd w:id="316"/>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317" w:name="_Toc15507"/>
      <w:r>
        <w:rPr>
          <w:rFonts w:hint="eastAsia" w:ascii="宋体" w:hAnsi="宋体" w:cs="宋体"/>
          <w:sz w:val="24"/>
          <w:szCs w:val="24"/>
          <w:highlight w:val="none"/>
        </w:rPr>
        <w:t xml:space="preserve">2.2 发包人代表</w:t>
      </w:r>
      <w:bookmarkEnd w:id="317"/>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发包人代表：</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职    务：</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b/>
          <w:sz w:val="24"/>
          <w:szCs w:val="24"/>
          <w:highlight w:val="none"/>
        </w:rPr>
      </w:pPr>
      <w:r>
        <w:rPr>
          <w:rFonts w:hint="eastAsia" w:ascii="宋体" w:hAnsi="宋体" w:cs="宋体"/>
          <w:sz w:val="24"/>
          <w:szCs w:val="24"/>
          <w:highlight w:val="none"/>
        </w:rPr>
        <w:t xml:space="preserve">发包人对发包人代表的授权范围如下：</w:t>
      </w:r>
      <w:bookmarkStart w:id="318" w:name="EB1172d8305abe48d5bfc5760b822c5fd9"/>
      <w:r>
        <w:rPr>
          <w:rFonts w:hint="eastAsia" w:ascii="宋体" w:hAnsi="宋体" w:cs="宋体"/>
          <w:sz w:val="24"/>
          <w:szCs w:val="24"/>
          <w:highlight w:val="none"/>
          <w:u w:val="single"/>
        </w:rPr>
        <w:t xml:space="preserve">发包人代表在发包人的授权范围内， 负责处理合同履行过程中与发包人有关的具体事宜</w:t>
      </w:r>
      <w:bookmarkEnd w:id="318"/>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319" w:name="_Toc31131"/>
      <w:r>
        <w:rPr>
          <w:rFonts w:hint="eastAsia" w:ascii="宋体" w:hAnsi="宋体" w:cs="宋体"/>
          <w:sz w:val="24"/>
          <w:szCs w:val="24"/>
          <w:highlight w:val="none"/>
        </w:rPr>
        <w:t xml:space="preserve">2.4 施工现场、施工条件和基础资料的提供</w:t>
      </w:r>
      <w:bookmarkEnd w:id="319"/>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2.4.1 提供施工现场</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关于发包人移交施工现场的期限要求：</w:t>
      </w:r>
      <w:bookmarkStart w:id="320" w:name="EB014067be75a947dbb54bf6174c6a20b7"/>
      <w:r>
        <w:rPr>
          <w:rFonts w:hint="eastAsia" w:ascii="宋体" w:hAnsi="宋体" w:cs="宋体"/>
          <w:sz w:val="24"/>
          <w:szCs w:val="24"/>
          <w:highlight w:val="none"/>
        </w:rPr>
        <w:t xml:space="preserve">最迟于开工日期7天前向承包人移交施工现场</w:t>
      </w:r>
      <w:bookmarkEnd w:id="320"/>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2.4.2 提供施工条件</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关于发包人应负责提供施工所需要的条件，包括：</w:t>
      </w:r>
      <w:r>
        <w:rPr>
          <w:rFonts w:hint="eastAsia" w:ascii="宋体" w:hAnsi="宋体" w:cs="宋体"/>
          <w:sz w:val="24"/>
          <w:szCs w:val="24"/>
          <w:highlight w:val="none"/>
          <w:u w:val="single"/>
        </w:rPr>
        <w:t xml:space="preserve">执行通用条款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321" w:name="_Toc2934"/>
      <w:r>
        <w:rPr>
          <w:rFonts w:hint="eastAsia" w:ascii="宋体" w:hAnsi="宋体" w:cs="宋体"/>
          <w:sz w:val="24"/>
          <w:szCs w:val="24"/>
          <w:highlight w:val="none"/>
        </w:rPr>
        <w:t xml:space="preserve">2.5 资金来源证明及支付担保</w:t>
      </w:r>
      <w:bookmarkEnd w:id="321"/>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发包人提供资金来源证明的期限要求：</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发包人是否提供支付担保：</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发包人提供支付担保的形式：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outlineLvl w:val="1"/>
      </w:pPr>
      <w:r>
        <w:rPr>
          <w:highlight w:val="none"/>
        </w:rPr>
      </w:r>
      <w:bookmarkStart w:id="322" w:name="_Toc18497"/>
      <w:r>
        <w:rPr>
          <w:highlight w:val="none"/>
        </w:rPr>
      </w:r>
      <w:bookmarkStart w:id="323" w:name="_Toc351203635"/>
      <w:r>
        <w:rPr>
          <w:rFonts w:hint="eastAsia" w:ascii="宋体" w:hAnsi="宋体" w:cs="宋体"/>
          <w:sz w:val="24"/>
          <w:szCs w:val="24"/>
          <w:highlight w:val="none"/>
        </w:rPr>
        <w:t xml:space="preserve">3</w:t>
      </w:r>
      <w:bookmarkStart w:id="324" w:name="_Toc296347157"/>
      <w:r>
        <w:rPr>
          <w:highlight w:val="none"/>
        </w:rPr>
      </w:r>
      <w:bookmarkStart w:id="325" w:name="_Toc292559868"/>
      <w:r>
        <w:rPr>
          <w:highlight w:val="none"/>
        </w:rPr>
      </w:r>
      <w:bookmarkStart w:id="326" w:name="_Toc297120458"/>
      <w:r>
        <w:rPr>
          <w:highlight w:val="none"/>
        </w:rPr>
      </w:r>
      <w:bookmarkStart w:id="327" w:name="_Toc296944497"/>
      <w:r>
        <w:rPr>
          <w:highlight w:val="none"/>
        </w:rPr>
      </w:r>
      <w:bookmarkStart w:id="328" w:name="_Toc296346659"/>
      <w:r>
        <w:rPr>
          <w:highlight w:val="none"/>
        </w:rPr>
      </w:r>
      <w:bookmarkStart w:id="329" w:name="_Toc292559363"/>
      <w:r>
        <w:rPr>
          <w:highlight w:val="none"/>
        </w:rPr>
      </w:r>
      <w:bookmarkStart w:id="330" w:name="_Toc297048344"/>
      <w:r>
        <w:rPr>
          <w:highlight w:val="none"/>
        </w:rPr>
      </w:r>
      <w:bookmarkStart w:id="331" w:name="_Toc296503158"/>
      <w:r>
        <w:rPr>
          <w:highlight w:val="none"/>
        </w:rPr>
      </w:r>
      <w:bookmarkStart w:id="332" w:name="_Toc296891198"/>
      <w:r>
        <w:rPr>
          <w:highlight w:val="none"/>
        </w:rPr>
      </w:r>
      <w:bookmarkStart w:id="333" w:name="_Toc296890986"/>
      <w:r>
        <w:rPr>
          <w:rFonts w:hint="eastAsia" w:ascii="宋体" w:hAnsi="宋体" w:cs="宋体"/>
          <w:sz w:val="24"/>
          <w:szCs w:val="24"/>
          <w:highlight w:val="none"/>
        </w:rPr>
        <w:t xml:space="preserve">. 承包人</w:t>
      </w:r>
      <w:bookmarkEnd w:id="322"/>
      <w:r>
        <w:rPr>
          <w:highlight w:val="none"/>
        </w:rPr>
      </w:r>
      <w:bookmarkEnd w:id="323"/>
      <w:r>
        <w:rPr>
          <w:highlight w:val="none"/>
        </w:rPr>
      </w:r>
      <w:bookmarkEnd w:id="324"/>
      <w:r>
        <w:rPr>
          <w:highlight w:val="none"/>
        </w:rPr>
      </w:r>
      <w:bookmarkEnd w:id="325"/>
      <w:r>
        <w:rPr>
          <w:highlight w:val="none"/>
        </w:rPr>
      </w:r>
      <w:bookmarkEnd w:id="326"/>
      <w:r>
        <w:rPr>
          <w:highlight w:val="none"/>
        </w:rPr>
      </w:r>
      <w:bookmarkEnd w:id="327"/>
      <w:r>
        <w:rPr>
          <w:highlight w:val="none"/>
        </w:rPr>
      </w:r>
      <w:bookmarkEnd w:id="328"/>
      <w:r>
        <w:rPr>
          <w:highlight w:val="none"/>
        </w:rPr>
      </w:r>
      <w:bookmarkEnd w:id="329"/>
      <w:r>
        <w:rPr>
          <w:highlight w:val="none"/>
        </w:rPr>
      </w:r>
      <w:bookmarkEnd w:id="330"/>
      <w:r>
        <w:rPr>
          <w:highlight w:val="none"/>
        </w:rPr>
      </w:r>
      <w:bookmarkEnd w:id="331"/>
      <w:r>
        <w:rPr>
          <w:highlight w:val="none"/>
        </w:rPr>
      </w:r>
      <w:bookmarkEnd w:id="332"/>
      <w:r>
        <w:rPr>
          <w:highlight w:val="none"/>
        </w:rPr>
      </w:r>
      <w:bookmarkEnd w:id="333"/>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334" w:name="_Toc4926"/>
      <w:r>
        <w:rPr>
          <w:rFonts w:hint="eastAsia" w:ascii="宋体" w:hAnsi="宋体" w:cs="宋体"/>
          <w:sz w:val="24"/>
          <w:szCs w:val="24"/>
          <w:highlight w:val="none"/>
        </w:rPr>
        <w:t xml:space="preserve">3.1 承包人的一般义务</w:t>
      </w:r>
      <w:bookmarkEnd w:id="334"/>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（9）承包人提交的竣工资料的内容：</w:t>
      </w:r>
      <w:bookmarkStart w:id="335" w:name="EBe0360b0829ac49e681ed00bde7588491"/>
      <w:r>
        <w:rPr>
          <w:rFonts w:hint="eastAsia" w:ascii="宋体" w:hAnsi="宋体" w:cs="宋体"/>
          <w:sz w:val="24"/>
          <w:szCs w:val="24"/>
          <w:highlight w:val="none"/>
          <w:u w:val="single"/>
        </w:rPr>
        <w:t xml:space="preserve">竣工图纸、设计变更、洽商记录、现场签证、现场签证、材料检测试验报告、施工记录、检验批、隐蔽工程记录、分项工程验收记录、分部工程验收记录、开工报审表、施工日志、施工组织设计</w:t>
      </w:r>
      <w:bookmarkEnd w:id="335"/>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60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承包人需要提交的竣工资料套数：</w:t>
      </w:r>
      <w:bookmarkStart w:id="336" w:name="EB7c763010b8f846b5bfbf63317d9ca1d5"/>
      <w:r>
        <w:rPr>
          <w:rFonts w:hint="eastAsia" w:ascii="宋体" w:hAnsi="宋体" w:cs="宋体"/>
          <w:sz w:val="24"/>
          <w:szCs w:val="24"/>
          <w:highlight w:val="none"/>
          <w:u w:val="single"/>
        </w:rPr>
        <w:t xml:space="preserve">肆套</w:t>
      </w:r>
      <w:bookmarkEnd w:id="336"/>
      <w:r>
        <w:rPr>
          <w:rFonts w:hint="eastAsia" w:ascii="宋体" w:hAnsi="宋体" w:cs="宋体"/>
          <w:sz w:val="24"/>
          <w:szCs w:val="24"/>
          <w:highlight w:val="none"/>
          <w:u w:val="single"/>
        </w:rPr>
        <w:t xml:space="preserve">。</w:t>
      </w:r>
      <w:r>
        <w:rPr>
          <w:highlight w:val="none"/>
        </w:rPr>
      </w:r>
      <w:r/>
    </w:p>
    <w:p>
      <w:pPr>
        <w:ind w:firstLine="60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承包人提交的竣工资料的费用承担：</w:t>
      </w:r>
      <w:bookmarkStart w:id="337" w:name="EBa329c26310fd4cef96fcfb2c1dd01dfa"/>
      <w:r>
        <w:rPr>
          <w:rFonts w:hint="eastAsia" w:ascii="宋体" w:hAnsi="宋体" w:cs="宋体"/>
          <w:sz w:val="24"/>
          <w:szCs w:val="24"/>
          <w:highlight w:val="none"/>
          <w:u w:val="single"/>
        </w:rPr>
        <w:t xml:space="preserve">承包人承担</w:t>
      </w:r>
      <w:bookmarkEnd w:id="337"/>
      <w:r>
        <w:rPr>
          <w:rFonts w:hint="eastAsia" w:ascii="宋体" w:hAnsi="宋体" w:cs="宋体"/>
          <w:sz w:val="24"/>
          <w:szCs w:val="24"/>
          <w:highlight w:val="none"/>
          <w:u w:val="single"/>
        </w:rPr>
        <w:t xml:space="preserve">。</w:t>
      </w:r>
      <w:r>
        <w:rPr>
          <w:highlight w:val="none"/>
        </w:rPr>
      </w:r>
      <w:r/>
    </w:p>
    <w:p>
      <w:pPr>
        <w:ind w:firstLine="60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承包人提交的竣工资料移交时间：</w:t>
      </w:r>
      <w:bookmarkStart w:id="338" w:name="EB4451abd14720437dbc3258d25d7a4113"/>
      <w:r>
        <w:rPr>
          <w:rFonts w:hint="eastAsia" w:ascii="宋体" w:hAnsi="宋体" w:cs="宋体"/>
          <w:sz w:val="24"/>
          <w:szCs w:val="24"/>
          <w:highlight w:val="none"/>
          <w:u w:val="single"/>
        </w:rPr>
        <w:t xml:space="preserve">竣工验收合格后 1 个月内</w:t>
      </w:r>
      <w:bookmarkEnd w:id="338"/>
      <w:r>
        <w:rPr>
          <w:rFonts w:hint="eastAsia" w:ascii="宋体" w:hAnsi="宋体" w:cs="宋体"/>
          <w:sz w:val="24"/>
          <w:szCs w:val="24"/>
          <w:highlight w:val="none"/>
          <w:u w:val="single"/>
        </w:rPr>
        <w:t xml:space="preserve">。</w:t>
      </w:r>
      <w:r>
        <w:rPr>
          <w:highlight w:val="none"/>
        </w:rPr>
      </w:r>
      <w:r/>
    </w:p>
    <w:p>
      <w:pPr>
        <w:ind w:firstLine="60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承包人提交的竣工资料形式要求：</w:t>
      </w:r>
      <w:bookmarkStart w:id="339" w:name="EB43004b4039c64daf92ecfa1dc1ebdd1d"/>
      <w:r>
        <w:rPr>
          <w:rFonts w:hint="eastAsia" w:ascii="宋体" w:hAnsi="宋体" w:cs="宋体"/>
          <w:sz w:val="24"/>
          <w:szCs w:val="24"/>
          <w:highlight w:val="none"/>
          <w:u w:val="single"/>
        </w:rPr>
        <w:t xml:space="preserve">书面</w:t>
      </w:r>
      <w:bookmarkEnd w:id="339"/>
      <w:r>
        <w:rPr>
          <w:rFonts w:hint="eastAsia" w:ascii="宋体" w:hAnsi="宋体" w:cs="宋体"/>
          <w:sz w:val="24"/>
          <w:szCs w:val="24"/>
          <w:highlight w:val="none"/>
          <w:u w:val="single"/>
        </w:rPr>
        <w:t xml:space="preserve">。</w:t>
      </w:r>
      <w:r>
        <w:rPr>
          <w:highlight w:val="none"/>
        </w:rPr>
      </w:r>
      <w:r/>
    </w:p>
    <w:p>
      <w:pPr>
        <w:numPr>
          <w:ilvl w:val="0"/>
          <w:numId w:val="7"/>
        </w:num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承包人应履行的其他义务</w:t>
      </w:r>
      <w:r>
        <w:rPr>
          <w:rFonts w:hint="eastAsia" w:ascii="宋体" w:hAnsi="宋体" w:cs="宋体"/>
          <w:sz w:val="24"/>
          <w:szCs w:val="24"/>
          <w:highlight w:val="none"/>
          <w:u w:val="single"/>
        </w:rPr>
        <w:t xml:space="preserve">：</w:t>
      </w:r>
      <w:bookmarkStart w:id="340" w:name="EBddb47760ec7b4e4ab56cba79aa1890a0"/>
      <w:r>
        <w:rPr>
          <w:rFonts w:hint="eastAsia" w:ascii="宋体" w:hAnsi="宋体" w:cs="宋体"/>
          <w:sz w:val="24"/>
          <w:szCs w:val="24"/>
          <w:highlight w:val="none"/>
          <w:u w:val="single"/>
        </w:rPr>
        <w:t xml:space="preserve">/   </w:t>
      </w:r>
      <w:bookmarkEnd w:id="340"/>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341" w:name="_Toc25821"/>
      <w:r>
        <w:rPr>
          <w:rFonts w:hint="eastAsia" w:ascii="宋体" w:hAnsi="宋体" w:cs="宋体"/>
          <w:sz w:val="24"/>
          <w:szCs w:val="24"/>
          <w:highlight w:val="none"/>
        </w:rPr>
        <w:t xml:space="preserve">3.2 项目经理</w:t>
      </w:r>
      <w:bookmarkEnd w:id="341"/>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3.2.1 项目经理：</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建造师执业资格等级：</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建造师注册证书号：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建造师执业印章号：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安全生产考核合格证书号：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承包人对项目经理的授权范围如下：</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关于项目经理每月在施工现场的时间要求：</w:t>
      </w:r>
      <w:r>
        <w:rPr>
          <w:rFonts w:hint="eastAsia" w:ascii="宋体" w:hAnsi="宋体" w:cs="宋体"/>
          <w:sz w:val="24"/>
          <w:szCs w:val="24"/>
          <w:highlight w:val="none"/>
          <w:u w:val="single"/>
        </w:rPr>
        <w:t xml:space="preserve"> </w:t>
      </w:r>
      <w:bookmarkStart w:id="342" w:name="EBeee018cd35ef43d990a672658778b19e"/>
      <w:r>
        <w:rPr>
          <w:rFonts w:hint="eastAsia" w:ascii="宋体" w:hAnsi="宋体" w:cs="宋体"/>
          <w:sz w:val="24"/>
          <w:szCs w:val="24"/>
          <w:highlight w:val="none"/>
          <w:u w:val="single"/>
        </w:rPr>
        <w:t xml:space="preserve">项目经理应常驻施工现场，且每月在施工现场时间不得少于 25 日历天</w:t>
      </w:r>
      <w:bookmarkEnd w:id="342"/>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承包人未提交劳动合同，以及没有为项目经理缴纳社会保险证明的违约责任：</w:t>
      </w:r>
      <w:r>
        <w:rPr>
          <w:rFonts w:hint="eastAsia" w:ascii="宋体" w:hAnsi="宋体" w:cs="宋体"/>
          <w:sz w:val="24"/>
          <w:szCs w:val="24"/>
          <w:highlight w:val="none"/>
          <w:u w:val="single"/>
        </w:rPr>
        <w:t xml:space="preserve">   </w:t>
      </w:r>
      <w:bookmarkStart w:id="343" w:name="EB1455796331c54bb88555685a000960d4"/>
      <w:r>
        <w:rPr>
          <w:rFonts w:hint="eastAsia" w:ascii="宋体" w:hAnsi="宋体" w:cs="宋体"/>
          <w:sz w:val="24"/>
          <w:szCs w:val="24"/>
          <w:highlight w:val="none"/>
          <w:u w:val="single"/>
        </w:rPr>
        <w:t xml:space="preserve">执行通用条款</w:t>
      </w:r>
      <w:bookmarkEnd w:id="343"/>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项目经理未经批准，擅自离开施工现场的违约责任：</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3.2.3 承包人擅自更换项目经理的违约责任：</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    3.2.4 承包人无正当理由拒绝更换项目经理的违约责任：</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344" w:name="_Toc29740"/>
      <w:r>
        <w:rPr>
          <w:rFonts w:hint="eastAsia" w:ascii="宋体" w:hAnsi="宋体" w:cs="宋体"/>
          <w:sz w:val="24"/>
          <w:szCs w:val="24"/>
          <w:highlight w:val="none"/>
        </w:rPr>
        <w:t xml:space="preserve">3.3 承包人人员</w:t>
      </w:r>
      <w:bookmarkEnd w:id="344"/>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3.3.1 承包人提交项目管理机构及施工现场管理人员安排报告的期限：</w:t>
      </w:r>
      <w:r>
        <w:rPr>
          <w:rFonts w:hint="eastAsia" w:ascii="宋体" w:hAnsi="宋体" w:cs="宋体"/>
          <w:sz w:val="24"/>
          <w:szCs w:val="24"/>
          <w:highlight w:val="none"/>
          <w:u w:val="single"/>
        </w:rPr>
        <w:t xml:space="preserve">  </w:t>
      </w:r>
      <w:bookmarkStart w:id="345" w:name="EBb1c1a4c35f6b41c7ba7bcbfe618d8e0a"/>
      <w:r>
        <w:rPr>
          <w:rFonts w:hint="eastAsia" w:ascii="宋体" w:hAnsi="宋体" w:cs="宋体"/>
          <w:sz w:val="24"/>
          <w:szCs w:val="24"/>
          <w:highlight w:val="none"/>
          <w:u w:val="single"/>
        </w:rPr>
        <w:t xml:space="preserve">接到开工通知后 7 天内</w:t>
      </w:r>
      <w:bookmarkEnd w:id="345"/>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3.3.3 承包人无正当理由拒绝撤换主要施工管理人员的违约责任：</w:t>
      </w:r>
      <w:r>
        <w:rPr>
          <w:rFonts w:hint="eastAsia" w:ascii="宋体" w:hAnsi="宋体" w:cs="宋体"/>
          <w:sz w:val="24"/>
          <w:szCs w:val="24"/>
          <w:highlight w:val="none"/>
          <w:u w:val="single"/>
        </w:rPr>
        <w:t xml:space="preserve">                          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3.3.4 承包人主要施工管理人员离开施工现场的批准要求：</w:t>
      </w:r>
      <w:bookmarkStart w:id="346" w:name="EB90c32d6d8e55438083d1a2ab0e61faa5"/>
      <w:r>
        <w:rPr>
          <w:rFonts w:hint="eastAsia" w:ascii="宋体" w:hAnsi="宋体" w:cs="宋体"/>
          <w:sz w:val="24"/>
          <w:szCs w:val="24"/>
          <w:highlight w:val="none"/>
          <w:u w:val="single"/>
        </w:rPr>
        <w:t xml:space="preserve">执行通用条款</w:t>
      </w:r>
      <w:bookmarkEnd w:id="346"/>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3.3.5承包人擅自更换主要施工管理人员的违约责任：</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承包人主要施工管理人员擅自离开施工现场的违约责任：</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347" w:name="_Toc9705"/>
      <w:r>
        <w:rPr>
          <w:rFonts w:hint="eastAsia" w:ascii="宋体" w:hAnsi="宋体" w:cs="宋体"/>
          <w:sz w:val="24"/>
          <w:szCs w:val="24"/>
          <w:highlight w:val="none"/>
        </w:rPr>
        <w:t xml:space="preserve">3</w:t>
      </w:r>
      <w:bookmarkStart w:id="348" w:name="_Toc296944498"/>
      <w:r>
        <w:rPr>
          <w:highlight w:val="none"/>
        </w:rPr>
      </w:r>
      <w:bookmarkStart w:id="349" w:name="_Toc296503159"/>
      <w:r>
        <w:rPr>
          <w:highlight w:val="none"/>
        </w:rPr>
      </w:r>
      <w:bookmarkStart w:id="350" w:name="_Toc296346660"/>
      <w:r>
        <w:rPr>
          <w:highlight w:val="none"/>
        </w:rPr>
      </w:r>
      <w:bookmarkStart w:id="351" w:name="_Toc292559364"/>
      <w:r>
        <w:rPr>
          <w:highlight w:val="none"/>
        </w:rPr>
      </w:r>
      <w:bookmarkStart w:id="352" w:name="_Toc297120459"/>
      <w:r>
        <w:rPr>
          <w:highlight w:val="none"/>
        </w:rPr>
      </w:r>
      <w:bookmarkStart w:id="353" w:name="_Toc296890987"/>
      <w:r>
        <w:rPr>
          <w:highlight w:val="none"/>
        </w:rPr>
      </w:r>
      <w:bookmarkStart w:id="354" w:name="_Toc304295523"/>
      <w:r>
        <w:rPr>
          <w:highlight w:val="none"/>
        </w:rPr>
      </w:r>
      <w:bookmarkStart w:id="355" w:name="_Toc296347158"/>
      <w:r>
        <w:rPr>
          <w:highlight w:val="none"/>
        </w:rPr>
      </w:r>
      <w:bookmarkStart w:id="356" w:name="_Toc312677988"/>
      <w:r>
        <w:rPr>
          <w:highlight w:val="none"/>
        </w:rPr>
      </w:r>
      <w:bookmarkStart w:id="357" w:name="_Toc296891199"/>
      <w:r>
        <w:rPr>
          <w:highlight w:val="none"/>
        </w:rPr>
      </w:r>
      <w:bookmarkStart w:id="358" w:name="_Toc297048345"/>
      <w:r>
        <w:rPr>
          <w:highlight w:val="none"/>
        </w:rPr>
      </w:r>
      <w:bookmarkStart w:id="359" w:name="_Toc297216151"/>
      <w:r>
        <w:rPr>
          <w:highlight w:val="none"/>
        </w:rPr>
      </w:r>
      <w:bookmarkStart w:id="360" w:name="_Toc300934945"/>
      <w:r>
        <w:rPr>
          <w:highlight w:val="none"/>
        </w:rPr>
      </w:r>
      <w:bookmarkStart w:id="361" w:name="_Toc303539102"/>
      <w:r>
        <w:rPr>
          <w:highlight w:val="none"/>
        </w:rPr>
      </w:r>
      <w:bookmarkStart w:id="362" w:name="_Toc292559869"/>
      <w:r>
        <w:rPr>
          <w:highlight w:val="none"/>
        </w:rPr>
      </w:r>
      <w:bookmarkStart w:id="363" w:name="_Toc297123492"/>
      <w:r>
        <w:rPr>
          <w:rFonts w:hint="eastAsia" w:ascii="宋体" w:hAnsi="宋体" w:cs="宋体"/>
          <w:sz w:val="24"/>
          <w:szCs w:val="24"/>
          <w:highlight w:val="none"/>
        </w:rPr>
        <w:t xml:space="preserve">.5 分包</w:t>
      </w:r>
      <w:bookmarkEnd w:id="347"/>
      <w:r>
        <w:rPr>
          <w:highlight w:val="none"/>
        </w:rPr>
      </w:r>
      <w:bookmarkEnd w:id="348"/>
      <w:r>
        <w:rPr>
          <w:highlight w:val="none"/>
        </w:rPr>
      </w:r>
      <w:bookmarkEnd w:id="349"/>
      <w:r>
        <w:rPr>
          <w:highlight w:val="none"/>
        </w:rPr>
      </w:r>
      <w:bookmarkEnd w:id="350"/>
      <w:r>
        <w:rPr>
          <w:highlight w:val="none"/>
        </w:rPr>
      </w:r>
      <w:bookmarkEnd w:id="351"/>
      <w:r>
        <w:rPr>
          <w:highlight w:val="none"/>
        </w:rPr>
      </w:r>
      <w:bookmarkEnd w:id="352"/>
      <w:r>
        <w:rPr>
          <w:highlight w:val="none"/>
        </w:rPr>
      </w:r>
      <w:bookmarkEnd w:id="353"/>
      <w:r>
        <w:rPr>
          <w:highlight w:val="none"/>
        </w:rPr>
      </w:r>
      <w:bookmarkEnd w:id="354"/>
      <w:r>
        <w:rPr>
          <w:highlight w:val="none"/>
        </w:rPr>
      </w:r>
      <w:bookmarkEnd w:id="355"/>
      <w:r>
        <w:rPr>
          <w:highlight w:val="none"/>
        </w:rPr>
      </w:r>
      <w:bookmarkEnd w:id="356"/>
      <w:r>
        <w:rPr>
          <w:highlight w:val="none"/>
        </w:rPr>
      </w:r>
      <w:bookmarkEnd w:id="357"/>
      <w:r>
        <w:rPr>
          <w:highlight w:val="none"/>
        </w:rPr>
      </w:r>
      <w:bookmarkEnd w:id="358"/>
      <w:r>
        <w:rPr>
          <w:highlight w:val="none"/>
        </w:rPr>
      </w:r>
      <w:bookmarkEnd w:id="359"/>
      <w:r>
        <w:rPr>
          <w:highlight w:val="none"/>
        </w:rPr>
      </w:r>
      <w:bookmarkEnd w:id="360"/>
      <w:r>
        <w:rPr>
          <w:highlight w:val="none"/>
        </w:rPr>
      </w:r>
      <w:bookmarkEnd w:id="361"/>
      <w:r>
        <w:rPr>
          <w:highlight w:val="none"/>
        </w:rPr>
      </w:r>
      <w:bookmarkEnd w:id="362"/>
      <w:r>
        <w:rPr>
          <w:highlight w:val="none"/>
        </w:rPr>
      </w:r>
      <w:bookmarkEnd w:id="363"/>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w:t>
      </w:r>
      <w:bookmarkStart w:id="364" w:name="_Toc296890988"/>
      <w:r>
        <w:rPr>
          <w:highlight w:val="none"/>
        </w:rPr>
      </w:r>
      <w:bookmarkStart w:id="365" w:name="_Toc296346661"/>
      <w:r>
        <w:rPr>
          <w:highlight w:val="none"/>
        </w:rPr>
      </w:r>
      <w:bookmarkStart w:id="366" w:name="_Toc297216152"/>
      <w:r>
        <w:rPr>
          <w:highlight w:val="none"/>
        </w:rPr>
      </w:r>
      <w:bookmarkStart w:id="367" w:name="_Toc300934946"/>
      <w:r>
        <w:rPr>
          <w:highlight w:val="none"/>
        </w:rPr>
      </w:r>
      <w:bookmarkStart w:id="368" w:name="_Toc304295524"/>
      <w:r>
        <w:rPr>
          <w:highlight w:val="none"/>
        </w:rPr>
      </w:r>
      <w:bookmarkStart w:id="369" w:name="_Toc292559870"/>
      <w:r>
        <w:rPr>
          <w:highlight w:val="none"/>
        </w:rPr>
      </w:r>
      <w:bookmarkStart w:id="370" w:name="_Toc312677989"/>
      <w:r>
        <w:rPr>
          <w:highlight w:val="none"/>
        </w:rPr>
      </w:r>
      <w:bookmarkStart w:id="371" w:name="_Toc297123493"/>
      <w:r>
        <w:rPr>
          <w:highlight w:val="none"/>
        </w:rPr>
      </w:r>
      <w:bookmarkStart w:id="372" w:name="_Toc297120460"/>
      <w:r>
        <w:rPr>
          <w:highlight w:val="none"/>
        </w:rPr>
      </w:r>
      <w:bookmarkStart w:id="373" w:name="_Toc297048346"/>
      <w:r>
        <w:rPr>
          <w:highlight w:val="none"/>
        </w:rPr>
      </w:r>
      <w:bookmarkStart w:id="374" w:name="_Toc296891200"/>
      <w:r>
        <w:rPr>
          <w:highlight w:val="none"/>
        </w:rPr>
      </w:r>
      <w:bookmarkStart w:id="375" w:name="_Toc303539103"/>
      <w:r>
        <w:rPr>
          <w:highlight w:val="none"/>
        </w:rPr>
      </w:r>
      <w:bookmarkStart w:id="376" w:name="_Toc292559365"/>
      <w:r>
        <w:rPr>
          <w:highlight w:val="none"/>
        </w:rPr>
      </w:r>
      <w:bookmarkStart w:id="377" w:name="_Toc296347159"/>
      <w:r>
        <w:rPr>
          <w:highlight w:val="none"/>
        </w:rPr>
      </w:r>
      <w:bookmarkStart w:id="378" w:name="_Toc296944499"/>
      <w:r>
        <w:rPr>
          <w:highlight w:val="none"/>
        </w:rPr>
      </w:r>
      <w:bookmarkStart w:id="379" w:name="_Toc296503160"/>
      <w:r>
        <w:rPr>
          <w:highlight w:val="none"/>
        </w:rPr>
      </w:r>
      <w:bookmarkStart w:id="380" w:name="_Toc318581158"/>
      <w:r>
        <w:rPr>
          <w:rFonts w:hint="eastAsia" w:ascii="宋体" w:hAnsi="宋体" w:cs="宋体"/>
          <w:sz w:val="24"/>
          <w:szCs w:val="24"/>
          <w:highlight w:val="none"/>
        </w:rPr>
        <w:t xml:space="preserve">.5.1 分包的一般约定</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禁止分包的工程包括：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jc w:val="left"/>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主体结构、关键性工作的范围：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bookmarkEnd w:id="364"/>
      <w:r>
        <w:rPr>
          <w:highlight w:val="none"/>
        </w:rPr>
      </w:r>
      <w:bookmarkEnd w:id="365"/>
      <w:r>
        <w:rPr>
          <w:highlight w:val="none"/>
        </w:rPr>
      </w:r>
      <w:bookmarkEnd w:id="366"/>
      <w:r>
        <w:rPr>
          <w:highlight w:val="none"/>
        </w:rPr>
      </w:r>
      <w:bookmarkEnd w:id="367"/>
      <w:r>
        <w:rPr>
          <w:highlight w:val="none"/>
        </w:rPr>
      </w:r>
      <w:bookmarkEnd w:id="368"/>
      <w:r>
        <w:rPr>
          <w:highlight w:val="none"/>
        </w:rPr>
      </w:r>
      <w:bookmarkEnd w:id="369"/>
      <w:r>
        <w:rPr>
          <w:highlight w:val="none"/>
        </w:rPr>
      </w:r>
      <w:bookmarkEnd w:id="370"/>
      <w:r>
        <w:rPr>
          <w:highlight w:val="none"/>
        </w:rPr>
      </w:r>
      <w:bookmarkEnd w:id="371"/>
      <w:r>
        <w:rPr>
          <w:highlight w:val="none"/>
        </w:rPr>
      </w:r>
      <w:bookmarkEnd w:id="372"/>
      <w:r>
        <w:rPr>
          <w:highlight w:val="none"/>
        </w:rPr>
      </w:r>
      <w:bookmarkEnd w:id="373"/>
      <w:r>
        <w:rPr>
          <w:highlight w:val="none"/>
        </w:rPr>
      </w:r>
      <w:bookmarkEnd w:id="374"/>
      <w:r>
        <w:rPr>
          <w:highlight w:val="none"/>
        </w:rPr>
      </w:r>
      <w:bookmarkEnd w:id="375"/>
      <w:r>
        <w:rPr>
          <w:highlight w:val="none"/>
        </w:rPr>
      </w:r>
      <w:bookmarkEnd w:id="376"/>
      <w:r>
        <w:rPr>
          <w:highlight w:val="none"/>
        </w:rPr>
      </w:r>
      <w:bookmarkEnd w:id="377"/>
      <w:r>
        <w:rPr>
          <w:highlight w:val="none"/>
        </w:rPr>
      </w:r>
      <w:bookmarkEnd w:id="378"/>
      <w:r>
        <w:rPr>
          <w:highlight w:val="none"/>
        </w:rPr>
      </w:r>
      <w:bookmarkEnd w:id="379"/>
      <w:r>
        <w:rPr>
          <w:highlight w:val="none"/>
        </w:rPr>
      </w:r>
      <w:bookmarkEnd w:id="380"/>
      <w:r>
        <w:rPr>
          <w:highlight w:val="none"/>
        </w:rPr>
      </w:r>
      <w:bookmarkStart w:id="381" w:name="_Toc296346662"/>
      <w:r>
        <w:rPr>
          <w:highlight w:val="none"/>
        </w:rPr>
      </w:r>
      <w:bookmarkEnd w:id="381"/>
      <w:r>
        <w:rPr>
          <w:highlight w:val="none"/>
        </w:rPr>
      </w:r>
      <w:bookmarkStart w:id="382" w:name="_Toc296944500"/>
      <w:r>
        <w:rPr>
          <w:highlight w:val="none"/>
        </w:rPr>
      </w:r>
      <w:bookmarkEnd w:id="382"/>
      <w:r>
        <w:rPr>
          <w:highlight w:val="none"/>
        </w:rPr>
      </w:r>
      <w:bookmarkStart w:id="383" w:name="_Toc296890989"/>
      <w:r>
        <w:rPr>
          <w:highlight w:val="none"/>
        </w:rPr>
      </w:r>
      <w:bookmarkEnd w:id="383"/>
      <w:r>
        <w:rPr>
          <w:highlight w:val="none"/>
        </w:rPr>
      </w:r>
      <w:bookmarkStart w:id="384" w:name="_Toc297048347"/>
      <w:r>
        <w:rPr>
          <w:highlight w:val="none"/>
        </w:rPr>
      </w:r>
      <w:bookmarkEnd w:id="384"/>
      <w:r>
        <w:rPr>
          <w:highlight w:val="none"/>
        </w:rPr>
      </w:r>
      <w:bookmarkStart w:id="385" w:name="_Toc296891201"/>
      <w:r>
        <w:rPr>
          <w:highlight w:val="none"/>
        </w:rPr>
      </w:r>
      <w:bookmarkEnd w:id="385"/>
      <w:r>
        <w:rPr>
          <w:highlight w:val="none"/>
        </w:rPr>
      </w:r>
      <w:bookmarkStart w:id="386" w:name="_Toc296347160"/>
      <w:r>
        <w:rPr>
          <w:highlight w:val="none"/>
        </w:rPr>
      </w:r>
      <w:bookmarkEnd w:id="386"/>
      <w:r>
        <w:rPr>
          <w:highlight w:val="none"/>
        </w:rPr>
      </w:r>
      <w:bookmarkStart w:id="387" w:name="_Toc304295525"/>
      <w:r>
        <w:rPr>
          <w:highlight w:val="none"/>
        </w:rPr>
      </w:r>
      <w:bookmarkEnd w:id="387"/>
      <w:r>
        <w:rPr>
          <w:highlight w:val="none"/>
        </w:rPr>
      </w:r>
      <w:bookmarkStart w:id="388" w:name="_Toc296503161"/>
      <w:r>
        <w:rPr>
          <w:highlight w:val="none"/>
        </w:rPr>
      </w:r>
      <w:bookmarkEnd w:id="388"/>
      <w:r>
        <w:rPr>
          <w:highlight w:val="none"/>
        </w:rPr>
      </w:r>
      <w:bookmarkStart w:id="389" w:name="_Toc300934947"/>
      <w:r>
        <w:rPr>
          <w:highlight w:val="none"/>
        </w:rPr>
      </w:r>
      <w:bookmarkEnd w:id="389"/>
      <w:r>
        <w:rPr>
          <w:highlight w:val="none"/>
        </w:rPr>
      </w:r>
      <w:bookmarkStart w:id="390" w:name="_Toc297216153"/>
      <w:r>
        <w:rPr>
          <w:highlight w:val="none"/>
        </w:rPr>
      </w:r>
      <w:bookmarkEnd w:id="390"/>
      <w:r>
        <w:rPr>
          <w:highlight w:val="none"/>
        </w:rPr>
      </w:r>
      <w:bookmarkStart w:id="391" w:name="_Toc297120461"/>
      <w:r>
        <w:rPr>
          <w:highlight w:val="none"/>
        </w:rPr>
      </w:r>
      <w:bookmarkEnd w:id="391"/>
      <w:r>
        <w:rPr>
          <w:highlight w:val="none"/>
        </w:rPr>
      </w:r>
      <w:bookmarkStart w:id="392" w:name="_Toc303539104"/>
      <w:r>
        <w:rPr>
          <w:highlight w:val="none"/>
        </w:rPr>
      </w:r>
      <w:bookmarkEnd w:id="392"/>
      <w:r>
        <w:rPr>
          <w:highlight w:val="none"/>
        </w:rPr>
      </w:r>
      <w:bookmarkStart w:id="393" w:name="_Toc297123494"/>
      <w:r>
        <w:rPr>
          <w:highlight w:val="none"/>
        </w:rPr>
      </w:r>
      <w:bookmarkEnd w:id="393"/>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    3</w:t>
      </w:r>
      <w:bookmarkStart w:id="394" w:name="_Toc312677990"/>
      <w:r>
        <w:rPr>
          <w:highlight w:val="none"/>
        </w:rPr>
      </w:r>
      <w:bookmarkStart w:id="395" w:name="_Toc318581159"/>
      <w:r>
        <w:rPr>
          <w:rFonts w:hint="eastAsia" w:ascii="宋体" w:hAnsi="宋体" w:cs="宋体"/>
          <w:sz w:val="24"/>
          <w:szCs w:val="24"/>
          <w:highlight w:val="none"/>
        </w:rPr>
        <w:t xml:space="preserve">.5.2分包的确定</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允许分包的专业工程包括：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其他关于分包的约定：</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3.5.4 分包合同价款</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关于分包合同价款支付的约定：</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bookmarkEnd w:id="394"/>
      <w:r>
        <w:rPr>
          <w:highlight w:val="none"/>
        </w:rPr>
      </w:r>
      <w:bookmarkEnd w:id="395"/>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396" w:name="_Toc27944"/>
      <w:r>
        <w:rPr>
          <w:rFonts w:hint="eastAsia" w:ascii="宋体" w:hAnsi="宋体" w:cs="宋体"/>
          <w:sz w:val="24"/>
          <w:szCs w:val="24"/>
          <w:highlight w:val="none"/>
        </w:rPr>
        <w:t xml:space="preserve">3.6 工程照管与成品、半成品保护</w:t>
      </w:r>
      <w:bookmarkEnd w:id="396"/>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承包人负责照管工程及工程相关的材料、工程设备的起始时间：</w:t>
      </w:r>
      <w:r>
        <w:rPr>
          <w:rFonts w:hint="eastAsia" w:ascii="宋体" w:hAnsi="宋体" w:cs="宋体"/>
          <w:sz w:val="24"/>
          <w:szCs w:val="24"/>
          <w:highlight w:val="none"/>
          <w:u w:val="single"/>
        </w:rPr>
        <w:t xml:space="preserve"> </w:t>
      </w:r>
      <w:bookmarkStart w:id="397" w:name="EBdd165c1919464cd0b5aa882bfe482a50"/>
      <w:r>
        <w:rPr>
          <w:rFonts w:hint="eastAsia" w:ascii="宋体" w:hAnsi="宋体" w:cs="宋体"/>
          <w:sz w:val="24"/>
          <w:szCs w:val="24"/>
          <w:highlight w:val="none"/>
          <w:u w:val="single"/>
        </w:rPr>
        <w:t xml:space="preserve">执行通用条款</w:t>
      </w:r>
      <w:bookmarkEnd w:id="397"/>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398" w:name="_Toc20404"/>
      <w:r>
        <w:rPr>
          <w:rFonts w:hint="eastAsia" w:ascii="宋体" w:hAnsi="宋体" w:cs="宋体"/>
          <w:sz w:val="24"/>
          <w:szCs w:val="24"/>
          <w:highlight w:val="none"/>
        </w:rPr>
        <w:t xml:space="preserve">3.7 履约担保</w:t>
      </w:r>
      <w:bookmarkEnd w:id="398"/>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承包人是否提供履约担保：</w:t>
      </w:r>
      <w:r>
        <w:rPr>
          <w:rFonts w:hint="eastAsia" w:ascii="宋体" w:hAnsi="宋体" w:cs="宋体"/>
          <w:sz w:val="24"/>
          <w:szCs w:val="24"/>
          <w:highlight w:val="none"/>
          <w:u w:val="single"/>
        </w:rPr>
        <w:t xml:space="preserve">    </w:t>
      </w:r>
      <w:bookmarkStart w:id="399" w:name="EB273eb4fb51ca476e90261c1e42620adf"/>
      <w:r>
        <w:rPr>
          <w:rFonts w:hint="eastAsia" w:ascii="宋体" w:hAnsi="宋体" w:cs="宋体"/>
          <w:sz w:val="24"/>
          <w:szCs w:val="24"/>
          <w:highlight w:val="none"/>
          <w:u w:val="single"/>
        </w:rPr>
        <w:t xml:space="preserve">是</w:t>
      </w:r>
      <w:bookmarkEnd w:id="399"/>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承包人提供履约担保的形式、金额及期限的：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outlineLvl w:val="1"/>
      </w:pPr>
      <w:r>
        <w:rPr>
          <w:highlight w:val="none"/>
        </w:rPr>
      </w:r>
      <w:bookmarkStart w:id="400" w:name="_Toc351203636"/>
      <w:r>
        <w:rPr>
          <w:highlight w:val="none"/>
        </w:rPr>
      </w:r>
      <w:bookmarkStart w:id="401" w:name="_Toc22054"/>
      <w:r>
        <w:rPr>
          <w:rFonts w:hint="eastAsia" w:ascii="宋体" w:hAnsi="宋体" w:cs="宋体"/>
          <w:sz w:val="24"/>
          <w:szCs w:val="24"/>
          <w:highlight w:val="none"/>
        </w:rPr>
        <w:t xml:space="preserve">4</w:t>
      </w:r>
      <w:bookmarkStart w:id="402" w:name="_Toc296890990"/>
      <w:r>
        <w:rPr>
          <w:highlight w:val="none"/>
        </w:rPr>
      </w:r>
      <w:bookmarkStart w:id="403" w:name="_Toc292559366"/>
      <w:r>
        <w:rPr>
          <w:highlight w:val="none"/>
        </w:rPr>
      </w:r>
      <w:bookmarkStart w:id="404" w:name="_Toc292559871"/>
      <w:r>
        <w:rPr>
          <w:highlight w:val="none"/>
        </w:rPr>
      </w:r>
      <w:bookmarkStart w:id="405" w:name="_Toc297120462"/>
      <w:r>
        <w:rPr>
          <w:highlight w:val="none"/>
        </w:rPr>
      </w:r>
      <w:bookmarkStart w:id="406" w:name="_Toc296891202"/>
      <w:r>
        <w:rPr>
          <w:highlight w:val="none"/>
        </w:rPr>
      </w:r>
      <w:bookmarkStart w:id="407" w:name="_Toc296346663"/>
      <w:r>
        <w:rPr>
          <w:highlight w:val="none"/>
        </w:rPr>
      </w:r>
      <w:bookmarkStart w:id="408" w:name="_Toc267251413"/>
      <w:r>
        <w:rPr>
          <w:highlight w:val="none"/>
        </w:rPr>
      </w:r>
      <w:bookmarkStart w:id="409" w:name="_Toc296944501"/>
      <w:r>
        <w:rPr>
          <w:highlight w:val="none"/>
        </w:rPr>
      </w:r>
      <w:bookmarkStart w:id="410" w:name="_Toc297048348"/>
      <w:r>
        <w:rPr>
          <w:highlight w:val="none"/>
        </w:rPr>
      </w:r>
      <w:bookmarkStart w:id="411" w:name="_Toc296347161"/>
      <w:r>
        <w:rPr>
          <w:highlight w:val="none"/>
        </w:rPr>
      </w:r>
      <w:bookmarkStart w:id="412" w:name="_Toc296503162"/>
      <w:r>
        <w:rPr>
          <w:rFonts w:hint="eastAsia" w:ascii="宋体" w:hAnsi="宋体" w:cs="宋体"/>
          <w:sz w:val="24"/>
          <w:szCs w:val="24"/>
          <w:highlight w:val="none"/>
        </w:rPr>
        <w:t xml:space="preserve">. 监</w:t>
      </w:r>
      <w:bookmarkEnd w:id="402"/>
      <w:r>
        <w:rPr>
          <w:highlight w:val="none"/>
        </w:rPr>
      </w:r>
      <w:bookmarkEnd w:id="403"/>
      <w:r>
        <w:rPr>
          <w:highlight w:val="none"/>
        </w:rPr>
      </w:r>
      <w:bookmarkEnd w:id="404"/>
      <w:r>
        <w:rPr>
          <w:highlight w:val="none"/>
        </w:rPr>
      </w:r>
      <w:bookmarkEnd w:id="405"/>
      <w:r>
        <w:rPr>
          <w:highlight w:val="none"/>
        </w:rPr>
      </w:r>
      <w:bookmarkEnd w:id="406"/>
      <w:r>
        <w:rPr>
          <w:highlight w:val="none"/>
        </w:rPr>
      </w:r>
      <w:bookmarkEnd w:id="407"/>
      <w:r>
        <w:rPr>
          <w:highlight w:val="none"/>
        </w:rPr>
      </w:r>
      <w:bookmarkEnd w:id="408"/>
      <w:r>
        <w:rPr>
          <w:highlight w:val="none"/>
        </w:rPr>
      </w:r>
      <w:bookmarkEnd w:id="409"/>
      <w:r>
        <w:rPr>
          <w:highlight w:val="none"/>
        </w:rPr>
      </w:r>
      <w:bookmarkEnd w:id="410"/>
      <w:r>
        <w:rPr>
          <w:highlight w:val="none"/>
        </w:rPr>
      </w:r>
      <w:bookmarkEnd w:id="411"/>
      <w:r>
        <w:rPr>
          <w:highlight w:val="none"/>
        </w:rPr>
      </w:r>
      <w:bookmarkEnd w:id="412"/>
      <w:r>
        <w:rPr>
          <w:rFonts w:hint="eastAsia" w:ascii="宋体" w:hAnsi="宋体" w:cs="宋体"/>
          <w:sz w:val="24"/>
          <w:szCs w:val="24"/>
          <w:highlight w:val="none"/>
        </w:rPr>
        <w:t xml:space="preserve">理人</w:t>
      </w:r>
      <w:bookmarkEnd w:id="400"/>
      <w:r>
        <w:rPr>
          <w:highlight w:val="none"/>
        </w:rPr>
      </w:r>
      <w:bookmarkEnd w:id="401"/>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13" w:name="_Toc29632"/>
      <w:r>
        <w:rPr>
          <w:rFonts w:hint="eastAsia" w:ascii="宋体" w:hAnsi="宋体" w:cs="宋体"/>
          <w:sz w:val="24"/>
          <w:szCs w:val="24"/>
          <w:highlight w:val="none"/>
        </w:rPr>
        <w:t xml:space="preserve">4.1监理人的一般规定</w:t>
      </w:r>
      <w:bookmarkEnd w:id="413"/>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关于监理人的监理内容：</w:t>
      </w:r>
      <w:r>
        <w:rPr>
          <w:rFonts w:hint="eastAsia" w:ascii="宋体" w:hAnsi="宋体" w:cs="宋体"/>
          <w:sz w:val="24"/>
          <w:szCs w:val="24"/>
          <w:highlight w:val="none"/>
          <w:u w:val="single"/>
        </w:rPr>
        <w:t xml:space="preserve">    </w:t>
      </w:r>
      <w:bookmarkStart w:id="414" w:name="EB80dcb35eba424728a3877b3155374a38"/>
      <w:r>
        <w:rPr>
          <w:rFonts w:hint="eastAsia" w:ascii="宋体" w:hAnsi="宋体" w:cs="宋体"/>
          <w:sz w:val="24"/>
          <w:szCs w:val="24"/>
          <w:highlight w:val="none"/>
          <w:u w:val="single"/>
        </w:rPr>
        <w:t xml:space="preserve">执行通用条款</w:t>
      </w:r>
      <w:bookmarkEnd w:id="414"/>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关于监理人的监理权限：</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 </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关于监理人在施工现场的办公场所、生活场所的提供和费用承担的约定：</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15" w:name="_Toc5777"/>
      <w:r>
        <w:rPr>
          <w:rFonts w:hint="eastAsia" w:ascii="宋体" w:hAnsi="宋体" w:cs="宋体"/>
          <w:sz w:val="24"/>
          <w:szCs w:val="24"/>
          <w:highlight w:val="none"/>
        </w:rPr>
        <w:t xml:space="preserve">4.2 监理人员</w:t>
      </w:r>
      <w:bookmarkEnd w:id="415"/>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总监理工程师：</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职    务：</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监理工程师执业资格证书号：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通信地址：</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关于监理人的其他约定：</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16" w:name="_Toc20470"/>
      <w:r>
        <w:rPr>
          <w:rFonts w:hint="eastAsia" w:ascii="宋体" w:hAnsi="宋体" w:cs="宋体"/>
          <w:sz w:val="24"/>
          <w:szCs w:val="24"/>
          <w:highlight w:val="none"/>
        </w:rPr>
        <w:t xml:space="preserve">4.4 商定或确定</w:t>
      </w:r>
      <w:bookmarkEnd w:id="416"/>
      <w:r>
        <w:rPr>
          <w:highlight w:val="none"/>
        </w:rPr>
      </w:r>
      <w:r/>
    </w:p>
    <w:p>
      <w:pPr>
        <w:ind w:firstLine="480"/>
        <w:spacing w:line="300" w:lineRule="exact"/>
        <w:rPr>
          <w:rFonts w:hint="eastAsia" w:ascii="宋体" w:hAnsi="宋体" w:cs="宋体"/>
          <w:sz w:val="24"/>
          <w:szCs w:val="24"/>
          <w:highlight w:val="none"/>
        </w:rPr>
      </w:pPr>
      <w:r>
        <w:rPr>
          <w:highlight w:val="none"/>
        </w:rPr>
      </w:r>
      <w:bookmarkStart w:id="417" w:name="_Toc267251418"/>
      <w:r>
        <w:rPr>
          <w:rFonts w:hint="eastAsia" w:ascii="宋体" w:hAnsi="宋体" w:cs="宋体"/>
          <w:sz w:val="24"/>
          <w:szCs w:val="24"/>
          <w:highlight w:val="none"/>
        </w:rPr>
        <w:t xml:space="preserve">在发包人和承包人不能通过协商达成一致意见时，发包人授权监理人对以下事项进行确定：</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outlineLvl w:val="1"/>
      </w:pPr>
      <w:r>
        <w:rPr>
          <w:highlight w:val="none"/>
        </w:rPr>
      </w:r>
      <w:bookmarkStart w:id="418" w:name="_Toc16430"/>
      <w:r>
        <w:rPr>
          <w:highlight w:val="none"/>
        </w:rPr>
      </w:r>
      <w:bookmarkStart w:id="419" w:name="_Toc351203637"/>
      <w:r>
        <w:rPr>
          <w:rFonts w:hint="eastAsia" w:ascii="宋体" w:hAnsi="宋体" w:cs="宋体"/>
          <w:sz w:val="24"/>
          <w:szCs w:val="24"/>
          <w:highlight w:val="none"/>
        </w:rPr>
        <w:t xml:space="preserve">5</w:t>
      </w:r>
      <w:bookmarkEnd w:id="417"/>
      <w:r>
        <w:rPr>
          <w:highlight w:val="none"/>
        </w:rPr>
      </w:r>
      <w:bookmarkStart w:id="420" w:name="_Toc296503163"/>
      <w:r>
        <w:rPr>
          <w:highlight w:val="none"/>
        </w:rPr>
      </w:r>
      <w:bookmarkStart w:id="421" w:name="_Toc297120463"/>
      <w:r>
        <w:rPr>
          <w:highlight w:val="none"/>
        </w:rPr>
      </w:r>
      <w:bookmarkStart w:id="422" w:name="_Toc297048349"/>
      <w:r>
        <w:rPr>
          <w:highlight w:val="none"/>
        </w:rPr>
      </w:r>
      <w:bookmarkStart w:id="423" w:name="_Toc296944502"/>
      <w:r>
        <w:rPr>
          <w:highlight w:val="none"/>
        </w:rPr>
      </w:r>
      <w:bookmarkStart w:id="424" w:name="_Toc292559367"/>
      <w:r>
        <w:rPr>
          <w:highlight w:val="none"/>
        </w:rPr>
      </w:r>
      <w:bookmarkStart w:id="425" w:name="_Toc296890991"/>
      <w:r>
        <w:rPr>
          <w:highlight w:val="none"/>
        </w:rPr>
      </w:r>
      <w:bookmarkStart w:id="426" w:name="_Toc292559872"/>
      <w:r>
        <w:rPr>
          <w:highlight w:val="none"/>
        </w:rPr>
      </w:r>
      <w:bookmarkStart w:id="427" w:name="_Toc296891203"/>
      <w:r>
        <w:rPr>
          <w:highlight w:val="none"/>
        </w:rPr>
      </w:r>
      <w:bookmarkStart w:id="428" w:name="_Toc296346664"/>
      <w:r>
        <w:rPr>
          <w:highlight w:val="none"/>
        </w:rPr>
      </w:r>
      <w:bookmarkStart w:id="429" w:name="_Toc296347162"/>
      <w:r>
        <w:rPr>
          <w:rFonts w:hint="eastAsia" w:ascii="宋体" w:hAnsi="宋体" w:cs="宋体"/>
          <w:sz w:val="24"/>
          <w:szCs w:val="24"/>
          <w:highlight w:val="none"/>
        </w:rPr>
        <w:t xml:space="preserve">. 工程质量</w:t>
      </w:r>
      <w:bookmarkEnd w:id="418"/>
      <w:r>
        <w:rPr>
          <w:highlight w:val="none"/>
        </w:rPr>
      </w:r>
      <w:bookmarkEnd w:id="419"/>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30" w:name="_Toc21627"/>
      <w:r>
        <w:rPr>
          <w:rFonts w:hint="eastAsia" w:ascii="宋体" w:hAnsi="宋体" w:cs="宋体"/>
          <w:sz w:val="24"/>
          <w:szCs w:val="24"/>
          <w:highlight w:val="none"/>
        </w:rPr>
        <w:t xml:space="preserve">5.1 质量要求</w:t>
      </w:r>
      <w:bookmarkEnd w:id="430"/>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5</w:t>
      </w:r>
      <w:bookmarkStart w:id="431" w:name="_Toc312677997"/>
      <w:r>
        <w:rPr>
          <w:highlight w:val="none"/>
        </w:rPr>
      </w:r>
      <w:bookmarkStart w:id="432" w:name="_Toc304295527"/>
      <w:r>
        <w:rPr>
          <w:highlight w:val="none"/>
        </w:rPr>
      </w:r>
      <w:bookmarkStart w:id="433" w:name="_Toc297123496"/>
      <w:r>
        <w:rPr>
          <w:highlight w:val="none"/>
        </w:rPr>
      </w:r>
      <w:bookmarkStart w:id="434" w:name="_Toc318581164"/>
      <w:r>
        <w:rPr>
          <w:highlight w:val="none"/>
        </w:rPr>
      </w:r>
      <w:bookmarkStart w:id="435" w:name="_Toc297216155"/>
      <w:r>
        <w:rPr>
          <w:highlight w:val="none"/>
        </w:rPr>
      </w:r>
      <w:bookmarkStart w:id="436" w:name="_Toc303539106"/>
      <w:r>
        <w:rPr>
          <w:highlight w:val="none"/>
        </w:rPr>
      </w:r>
      <w:bookmarkStart w:id="437" w:name="_Toc300934949"/>
      <w:r>
        <w:rPr>
          <w:rFonts w:hint="eastAsia" w:ascii="宋体" w:hAnsi="宋体" w:cs="宋体"/>
          <w:sz w:val="24"/>
          <w:szCs w:val="24"/>
          <w:highlight w:val="none"/>
        </w:rPr>
        <w:t xml:space="preserve">.1.1 特殊质量标准和要求：</w:t>
      </w:r>
      <w:r>
        <w:rPr>
          <w:rFonts w:hint="eastAsia" w:ascii="宋体" w:hAnsi="宋体" w:cs="宋体"/>
          <w:sz w:val="24"/>
          <w:szCs w:val="24"/>
          <w:highlight w:val="none"/>
          <w:u w:val="single"/>
        </w:rPr>
        <w:t xml:space="preserve">    合格   </w:t>
      </w:r>
      <w:r>
        <w:rPr>
          <w:rFonts w:hint="eastAsia" w:ascii="宋体" w:hAnsi="宋体" w:cs="宋体"/>
          <w:sz w:val="24"/>
          <w:szCs w:val="24"/>
          <w:highlight w:val="none"/>
        </w:rPr>
        <w:t xml:space="preserve">。</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关于工程奖项的约定：</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38" w:name="_Toc31267"/>
      <w:r>
        <w:rPr>
          <w:rFonts w:hint="eastAsia" w:ascii="宋体" w:hAnsi="宋体" w:cs="宋体"/>
          <w:sz w:val="24"/>
          <w:szCs w:val="24"/>
          <w:highlight w:val="none"/>
        </w:rPr>
        <w:t xml:space="preserve">5.3 隐蔽工程检查</w:t>
      </w:r>
      <w:bookmarkEnd w:id="438"/>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5.3.2承包人提前通知监理人隐蔽工程检查的期限的约定：</w:t>
      </w:r>
      <w:r>
        <w:rPr>
          <w:rFonts w:hint="eastAsia" w:ascii="宋体" w:hAnsi="宋体" w:cs="宋体"/>
          <w:sz w:val="24"/>
          <w:szCs w:val="24"/>
          <w:highlight w:val="none"/>
          <w:u w:val="single"/>
        </w:rPr>
        <w:t xml:space="preserve"> </w:t>
      </w:r>
      <w:bookmarkStart w:id="439" w:name="EB1aa61166ec044fa5a8109ac5aaab919e"/>
      <w:r>
        <w:rPr>
          <w:rFonts w:hint="eastAsia" w:ascii="宋体" w:hAnsi="宋体" w:cs="宋体"/>
          <w:sz w:val="24"/>
          <w:szCs w:val="24"/>
          <w:highlight w:val="none"/>
          <w:u w:val="single"/>
        </w:rPr>
        <w:t xml:space="preserve">承包人应在共同检查前 48 小时书面通知监理人检查</w:t>
      </w:r>
      <w:bookmarkEnd w:id="439"/>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监理人不能按时进行检查时，应提前</w:t>
      </w:r>
      <w:r>
        <w:rPr>
          <w:rFonts w:hint="eastAsia" w:ascii="宋体" w:hAnsi="宋体" w:cs="宋体"/>
          <w:sz w:val="24"/>
          <w:szCs w:val="24"/>
          <w:highlight w:val="none"/>
          <w:u w:val="single"/>
        </w:rPr>
        <w:t xml:space="preserve">  24  </w:t>
      </w:r>
      <w:r>
        <w:rPr>
          <w:rFonts w:hint="eastAsia" w:ascii="宋体" w:hAnsi="宋体" w:cs="宋体"/>
          <w:sz w:val="24"/>
          <w:szCs w:val="24"/>
          <w:highlight w:val="none"/>
        </w:rPr>
        <w:t xml:space="preserve">小时提交书面延期要求。</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关于延期最长不得超过：</w:t>
      </w:r>
      <w:r>
        <w:rPr>
          <w:rFonts w:hint="eastAsia" w:ascii="宋体" w:hAnsi="宋体" w:cs="宋体"/>
          <w:sz w:val="24"/>
          <w:szCs w:val="24"/>
          <w:highlight w:val="none"/>
          <w:u w:val="single"/>
        </w:rPr>
        <w:t xml:space="preserve">  48    </w:t>
      </w:r>
      <w:r>
        <w:rPr>
          <w:rFonts w:hint="eastAsia" w:ascii="宋体" w:hAnsi="宋体" w:cs="宋体"/>
          <w:sz w:val="24"/>
          <w:szCs w:val="24"/>
          <w:highlight w:val="none"/>
        </w:rPr>
        <w:t xml:space="preserve">小时。</w:t>
      </w:r>
      <w:r>
        <w:rPr>
          <w:highlight w:val="none"/>
        </w:rPr>
      </w:r>
      <w:r/>
    </w:p>
    <w:p>
      <w:pPr>
        <w:spacing w:line="300" w:lineRule="exact"/>
        <w:rPr>
          <w:rFonts w:hint="eastAsia" w:ascii="宋体" w:hAnsi="宋体" w:cs="宋体"/>
          <w:sz w:val="24"/>
          <w:szCs w:val="24"/>
          <w:highlight w:val="none"/>
        </w:rPr>
        <w:outlineLvl w:val="1"/>
      </w:pPr>
      <w:r>
        <w:rPr>
          <w:highlight w:val="none"/>
        </w:rPr>
      </w:r>
      <w:bookmarkStart w:id="440" w:name="_Toc27950"/>
      <w:r>
        <w:rPr>
          <w:highlight w:val="none"/>
        </w:rPr>
      </w:r>
      <w:bookmarkStart w:id="441" w:name="_Toc351203638"/>
      <w:r>
        <w:rPr>
          <w:rFonts w:hint="eastAsia" w:ascii="宋体" w:hAnsi="宋体" w:cs="宋体"/>
          <w:sz w:val="24"/>
          <w:szCs w:val="24"/>
          <w:highlight w:val="none"/>
        </w:rPr>
        <w:t xml:space="preserve">6. 安全文明施工与环境保护</w:t>
      </w:r>
      <w:bookmarkEnd w:id="440"/>
      <w:r>
        <w:rPr>
          <w:highlight w:val="none"/>
        </w:rPr>
      </w:r>
      <w:bookmarkEnd w:id="441"/>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42" w:name="_Toc1269"/>
      <w:r>
        <w:rPr>
          <w:rFonts w:hint="eastAsia" w:ascii="宋体" w:hAnsi="宋体" w:cs="宋体"/>
          <w:sz w:val="24"/>
          <w:szCs w:val="24"/>
          <w:highlight w:val="none"/>
        </w:rPr>
        <w:t xml:space="preserve">6.1安全文明施工</w:t>
      </w:r>
      <w:bookmarkEnd w:id="442"/>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6.1.1 项目安全生产的达标目标及相应事项的约定：</w:t>
      </w:r>
      <w:r>
        <w:rPr>
          <w:rFonts w:hint="eastAsia" w:ascii="宋体" w:hAnsi="宋体" w:cs="宋体"/>
          <w:sz w:val="24"/>
          <w:szCs w:val="24"/>
          <w:highlight w:val="none"/>
          <w:u w:val="single"/>
        </w:rPr>
        <w:t xml:space="preserve"> </w:t>
      </w:r>
      <w:bookmarkStart w:id="443" w:name="EB6e67bc6c1b0941b7ad85815e60a85933"/>
      <w:r>
        <w:rPr>
          <w:rFonts w:hint="eastAsia" w:ascii="宋体" w:hAnsi="宋体" w:cs="宋体"/>
          <w:sz w:val="24"/>
          <w:szCs w:val="24"/>
          <w:highlight w:val="none"/>
          <w:u w:val="single"/>
        </w:rPr>
        <w:t xml:space="preserve">执行通用条款</w:t>
      </w:r>
      <w:bookmarkEnd w:id="443"/>
      <w:r>
        <w:rPr>
          <w:rFonts w:hint="eastAsia" w:ascii="宋体" w:hAnsi="宋体" w:cs="宋体"/>
          <w:sz w:val="24"/>
          <w:szCs w:val="24"/>
          <w:highlight w:val="none"/>
        </w:rPr>
        <w:t xml:space="preserve">。</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6.1.4 关于治安保卫的特别约定：</w:t>
      </w:r>
      <w:r>
        <w:rPr>
          <w:rFonts w:hint="eastAsia" w:ascii="宋体" w:hAnsi="宋体" w:cs="宋体"/>
          <w:sz w:val="24"/>
          <w:szCs w:val="24"/>
          <w:highlight w:val="none"/>
          <w:u w:val="single"/>
        </w:rPr>
        <w:t xml:space="preserve">执行通用条款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关于编制施工场地治安管理计划的约定：</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6.1.5 文明施工</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合同当事人对文明施工的要求：</w:t>
      </w:r>
      <w:r>
        <w:rPr>
          <w:rFonts w:hint="eastAsia" w:ascii="宋体" w:hAnsi="宋体" w:cs="宋体"/>
          <w:sz w:val="24"/>
          <w:szCs w:val="24"/>
          <w:highlight w:val="none"/>
          <w:u w:val="single"/>
        </w:rPr>
        <w:t xml:space="preserve"> 执行通用条款 </w:t>
      </w:r>
      <w:r>
        <w:rPr>
          <w:rFonts w:hint="eastAsia" w:ascii="宋体" w:hAnsi="宋体" w:cs="宋体"/>
          <w:sz w:val="24"/>
          <w:szCs w:val="24"/>
          <w:highlight w:val="none"/>
        </w:rPr>
        <w:t xml:space="preserve">。</w:t>
      </w:r>
      <w:r>
        <w:rPr>
          <w:highlight w:val="none"/>
        </w:rPr>
      </w:r>
      <w:r/>
    </w:p>
    <w:p>
      <w:pPr>
        <w:jc w:val="left"/>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6.1.6 关于安全文明施工费支付比例和支付期限的约定：</w:t>
      </w:r>
      <w:bookmarkStart w:id="444" w:name="EB4903ea161fff481c93eb79c78ea94d43"/>
      <w:r>
        <w:rPr>
          <w:rFonts w:hint="eastAsia" w:ascii="宋体" w:hAnsi="宋体" w:cs="宋体"/>
          <w:sz w:val="24"/>
          <w:szCs w:val="24"/>
          <w:highlight w:val="none"/>
          <w:u w:val="single"/>
        </w:rPr>
        <w:t xml:space="preserve">安全文明施工费支付按合同进度款同期支付</w:t>
      </w:r>
      <w:bookmarkEnd w:id="444"/>
      <w:r>
        <w:rPr>
          <w:rFonts w:hint="eastAsia" w:ascii="宋体" w:hAnsi="宋体" w:cs="宋体"/>
          <w:sz w:val="24"/>
          <w:szCs w:val="24"/>
          <w:highlight w:val="none"/>
          <w:u w:val="single"/>
        </w:rPr>
        <w:t xml:space="preserve">。</w:t>
      </w:r>
      <w:bookmarkEnd w:id="431"/>
      <w:r>
        <w:rPr>
          <w:highlight w:val="none"/>
        </w:rPr>
      </w:r>
      <w:bookmarkEnd w:id="432"/>
      <w:r>
        <w:rPr>
          <w:highlight w:val="none"/>
        </w:rPr>
      </w:r>
      <w:bookmarkEnd w:id="433"/>
      <w:r>
        <w:rPr>
          <w:highlight w:val="none"/>
        </w:rPr>
      </w:r>
      <w:bookmarkEnd w:id="434"/>
      <w:r>
        <w:rPr>
          <w:highlight w:val="none"/>
        </w:rPr>
      </w:r>
      <w:bookmarkEnd w:id="435"/>
      <w:r>
        <w:rPr>
          <w:highlight w:val="none"/>
        </w:rPr>
      </w:r>
      <w:bookmarkEnd w:id="436"/>
      <w:r>
        <w:rPr>
          <w:highlight w:val="none"/>
        </w:rPr>
      </w:r>
      <w:bookmarkEnd w:id="437"/>
      <w:r>
        <w:rPr>
          <w:highlight w:val="none"/>
        </w:rPr>
      </w:r>
      <w:r/>
    </w:p>
    <w:p>
      <w:pPr>
        <w:spacing w:line="300" w:lineRule="exact"/>
        <w:rPr>
          <w:rFonts w:hint="eastAsia" w:ascii="宋体" w:hAnsi="宋体" w:cs="宋体"/>
          <w:sz w:val="24"/>
          <w:szCs w:val="24"/>
          <w:highlight w:val="none"/>
        </w:rPr>
        <w:outlineLvl w:val="1"/>
      </w:pPr>
      <w:r>
        <w:rPr>
          <w:highlight w:val="none"/>
        </w:rPr>
      </w:r>
      <w:bookmarkStart w:id="445" w:name="_Toc21527"/>
      <w:r>
        <w:rPr>
          <w:highlight w:val="none"/>
        </w:rPr>
      </w:r>
      <w:bookmarkStart w:id="446" w:name="_Toc351203639"/>
      <w:r>
        <w:rPr>
          <w:rFonts w:hint="eastAsia" w:ascii="宋体" w:hAnsi="宋体" w:cs="宋体"/>
          <w:sz w:val="24"/>
          <w:szCs w:val="24"/>
          <w:highlight w:val="none"/>
        </w:rPr>
        <w:t xml:space="preserve">7. 工期和进度</w:t>
      </w:r>
      <w:bookmarkEnd w:id="445"/>
      <w:r>
        <w:rPr>
          <w:highlight w:val="none"/>
        </w:rPr>
      </w:r>
      <w:bookmarkEnd w:id="446"/>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47" w:name="_Toc10176"/>
      <w:r>
        <w:rPr>
          <w:rFonts w:hint="eastAsia" w:ascii="宋体" w:hAnsi="宋体" w:cs="宋体"/>
          <w:sz w:val="24"/>
          <w:szCs w:val="24"/>
          <w:highlight w:val="none"/>
        </w:rPr>
        <w:t xml:space="preserve">7.1 施工组织设计</w:t>
      </w:r>
      <w:bookmarkEnd w:id="447"/>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7.1.1 合同当事人约定的施工组织设计应包括的其他内容：</w:t>
      </w:r>
      <w:r>
        <w:rPr>
          <w:rFonts w:hint="eastAsia" w:ascii="宋体" w:hAnsi="宋体" w:cs="宋体"/>
          <w:sz w:val="24"/>
          <w:szCs w:val="24"/>
          <w:highlight w:val="none"/>
          <w:u w:val="single"/>
        </w:rPr>
        <w:t xml:space="preserve">执行通用条款</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7.1.2 施工组织设计的提交和修改</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承包人提交详细施工组织设计的期限的约定：</w:t>
      </w:r>
      <w:bookmarkStart w:id="448" w:name="EBffddc3420bae4e12964a9fe235b8a442"/>
      <w:r>
        <w:rPr>
          <w:rFonts w:hint="eastAsia" w:ascii="宋体" w:hAnsi="宋体" w:cs="宋体"/>
          <w:sz w:val="24"/>
          <w:szCs w:val="24"/>
          <w:highlight w:val="none"/>
          <w:u w:val="single"/>
        </w:rPr>
        <w:t xml:space="preserve">合同签订后14天内， 但至迟不得晚于开工通知载明的开工日期前7天</w:t>
      </w:r>
      <w:bookmarkEnd w:id="448"/>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发包人和监理人在收到详细的施工组织设计后确认或提出修改意见的期限：</w:t>
      </w:r>
      <w:r>
        <w:rPr>
          <w:rFonts w:hint="eastAsia" w:ascii="宋体" w:hAnsi="宋体" w:cs="宋体"/>
          <w:sz w:val="24"/>
          <w:szCs w:val="24"/>
          <w:highlight w:val="none"/>
          <w:u w:val="single"/>
        </w:rPr>
        <w:t xml:space="preserve"> </w:t>
      </w:r>
      <w:bookmarkStart w:id="449" w:name="EB9f5c9bba0f1c4d9d99b7c8f9bdf6ab32"/>
      <w:r>
        <w:rPr>
          <w:rFonts w:hint="eastAsia" w:ascii="宋体" w:hAnsi="宋体" w:cs="宋体"/>
          <w:sz w:val="24"/>
          <w:szCs w:val="24"/>
          <w:highlight w:val="none"/>
        </w:rPr>
        <w:t xml:space="preserve">在监理人收到施工组织设计后 7 天内</w:t>
      </w:r>
      <w:bookmarkEnd w:id="449"/>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50" w:name="_Toc7245"/>
      <w:r>
        <w:rPr>
          <w:rFonts w:hint="eastAsia" w:ascii="宋体" w:hAnsi="宋体" w:cs="宋体"/>
          <w:sz w:val="24"/>
          <w:szCs w:val="24"/>
          <w:highlight w:val="none"/>
        </w:rPr>
        <w:t xml:space="preserve">7</w:t>
      </w:r>
      <w:bookmarkStart w:id="451" w:name="_Toc312677479"/>
      <w:r>
        <w:rPr>
          <w:highlight w:val="none"/>
        </w:rPr>
      </w:r>
      <w:bookmarkStart w:id="452" w:name="_Toc304295541"/>
      <w:r>
        <w:rPr>
          <w:highlight w:val="none"/>
        </w:rPr>
      </w:r>
      <w:bookmarkStart w:id="453" w:name="_Toc312678005"/>
      <w:r>
        <w:rPr>
          <w:highlight w:val="none"/>
        </w:rPr>
      </w:r>
      <w:bookmarkStart w:id="454" w:name="_Toc297123514"/>
      <w:r>
        <w:rPr>
          <w:highlight w:val="none"/>
        </w:rPr>
      </w:r>
      <w:bookmarkStart w:id="455" w:name="_Toc300934966"/>
      <w:r>
        <w:rPr>
          <w:highlight w:val="none"/>
        </w:rPr>
      </w:r>
      <w:bookmarkStart w:id="456" w:name="_Toc297216173"/>
      <w:r>
        <w:rPr>
          <w:highlight w:val="none"/>
        </w:rPr>
      </w:r>
      <w:bookmarkStart w:id="457" w:name="_Toc303539123"/>
      <w:r>
        <w:rPr>
          <w:rFonts w:hint="eastAsia" w:ascii="宋体" w:hAnsi="宋体" w:cs="宋体"/>
          <w:sz w:val="24"/>
          <w:szCs w:val="24"/>
          <w:highlight w:val="none"/>
        </w:rPr>
        <w:t xml:space="preserve">.2 施工进度计划</w:t>
      </w:r>
      <w:bookmarkEnd w:id="450"/>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7.2.2 施工进度计划的修订</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发包人和监理人在收到修订的施工进度计划后确认或提出修改意见的期限：</w:t>
      </w:r>
      <w:bookmarkStart w:id="458" w:name="EBad11476eeaf945a4bb48c806a0209a0c"/>
      <w:r>
        <w:rPr>
          <w:rFonts w:hint="eastAsia" w:ascii="宋体" w:hAnsi="宋体" w:cs="宋体"/>
          <w:sz w:val="24"/>
          <w:szCs w:val="24"/>
          <w:highlight w:val="none"/>
        </w:rPr>
        <w:t xml:space="preserve">收到修订的施工进度计划后 7 天内</w:t>
      </w:r>
      <w:bookmarkEnd w:id="458"/>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59" w:name="_Toc6139"/>
      <w:r>
        <w:rPr>
          <w:rFonts w:hint="eastAsia" w:ascii="宋体" w:hAnsi="宋体" w:cs="宋体"/>
          <w:sz w:val="24"/>
          <w:szCs w:val="24"/>
          <w:highlight w:val="none"/>
        </w:rPr>
        <w:t xml:space="preserve">7.3 开工</w:t>
      </w:r>
      <w:bookmarkEnd w:id="459"/>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7.3.1 开工准备</w:t>
      </w:r>
      <w:r>
        <w:rPr>
          <w:highlight w:val="none"/>
        </w:rPr>
      </w:r>
      <w:r/>
    </w:p>
    <w:p>
      <w:pPr>
        <w:ind w:firstLine="645"/>
        <w:jc w:val="left"/>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关于承包人提交工程开工报审表的期限：</w:t>
      </w:r>
      <w:bookmarkStart w:id="460" w:name="EBd93044158740452a9bb4f9453c428db9"/>
      <w:r>
        <w:rPr>
          <w:rFonts w:hint="eastAsia" w:ascii="宋体" w:hAnsi="宋体" w:cs="宋体"/>
          <w:sz w:val="24"/>
          <w:szCs w:val="24"/>
          <w:highlight w:val="none"/>
          <w:u w:val="single"/>
        </w:rPr>
        <w:t xml:space="preserve">执行通用条款</w:t>
      </w:r>
      <w:bookmarkEnd w:id="460"/>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关于发包人应完成的其他开工准备工作及期限：</w:t>
      </w:r>
      <w:r>
        <w:rPr>
          <w:rFonts w:hint="eastAsia" w:ascii="宋体" w:hAnsi="宋体" w:cs="宋体"/>
          <w:sz w:val="24"/>
          <w:szCs w:val="24"/>
          <w:highlight w:val="none"/>
          <w:u w:val="single"/>
        </w:rPr>
        <w:t xml:space="preserve">执行通用条款 </w:t>
      </w:r>
      <w:r>
        <w:rPr>
          <w:rFonts w:hint="eastAsia" w:ascii="宋体" w:hAnsi="宋体" w:cs="宋体"/>
          <w:sz w:val="24"/>
          <w:szCs w:val="24"/>
          <w:highlight w:val="none"/>
        </w:rPr>
        <w:t xml:space="preserve">。</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关于承包人应完成的其他开工准备工作及期限：</w:t>
      </w:r>
      <w:r>
        <w:rPr>
          <w:rFonts w:hint="eastAsia" w:ascii="宋体" w:hAnsi="宋体" w:cs="宋体"/>
          <w:sz w:val="24"/>
          <w:szCs w:val="24"/>
          <w:highlight w:val="none"/>
          <w:u w:val="single"/>
        </w:rPr>
        <w:t xml:space="preserve">执行通用条款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7.3.2开工通知</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因发包人原因造成监理人未能在计划开工日期之日起</w:t>
      </w:r>
      <w:r>
        <w:rPr>
          <w:rFonts w:hint="eastAsia" w:ascii="宋体" w:hAnsi="宋体" w:cs="宋体"/>
          <w:sz w:val="24"/>
          <w:szCs w:val="24"/>
          <w:highlight w:val="none"/>
          <w:u w:val="single"/>
        </w:rPr>
        <w:t xml:space="preserve">  90  </w:t>
      </w:r>
      <w:r>
        <w:rPr>
          <w:rFonts w:hint="eastAsia" w:ascii="宋体" w:hAnsi="宋体" w:cs="宋体"/>
          <w:sz w:val="24"/>
          <w:szCs w:val="24"/>
          <w:highlight w:val="none"/>
        </w:rPr>
        <w:t xml:space="preserve">天内发出开工通知的，承包人有权提出价格调整要求，或者解除合同。</w:t>
      </w:r>
      <w:bookmarkEnd w:id="451"/>
      <w:r>
        <w:rPr>
          <w:highlight w:val="none"/>
        </w:rPr>
      </w:r>
      <w:bookmarkEnd w:id="452"/>
      <w:r>
        <w:rPr>
          <w:highlight w:val="none"/>
        </w:rPr>
      </w:r>
      <w:bookmarkEnd w:id="453"/>
      <w:r>
        <w:rPr>
          <w:highlight w:val="none"/>
        </w:rPr>
      </w:r>
      <w:bookmarkEnd w:id="454"/>
      <w:r>
        <w:rPr>
          <w:highlight w:val="none"/>
        </w:rPr>
      </w:r>
      <w:bookmarkEnd w:id="455"/>
      <w:r>
        <w:rPr>
          <w:highlight w:val="none"/>
        </w:rPr>
      </w:r>
      <w:bookmarkEnd w:id="456"/>
      <w:r>
        <w:rPr>
          <w:highlight w:val="none"/>
        </w:rPr>
      </w:r>
      <w:bookmarkEnd w:id="457"/>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61" w:name="_Toc24868"/>
      <w:r>
        <w:rPr>
          <w:rFonts w:hint="eastAsia" w:ascii="宋体" w:hAnsi="宋体" w:cs="宋体"/>
          <w:sz w:val="24"/>
          <w:szCs w:val="24"/>
          <w:highlight w:val="none"/>
        </w:rPr>
        <w:t xml:space="preserve">7.4 测量放线</w:t>
      </w:r>
      <w:bookmarkEnd w:id="461"/>
      <w:r>
        <w:rPr>
          <w:highlight w:val="none"/>
        </w:rPr>
      </w:r>
      <w:r/>
    </w:p>
    <w:p>
      <w:pPr>
        <w:ind w:firstLine="480"/>
        <w:jc w:val="left"/>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7.4.1发包人通过监理人向承包人提供测量基准点、基准线和水准点及其书面资料的期限：</w:t>
      </w:r>
      <w:bookmarkStart w:id="462" w:name="EB2161e5016ae3485d99d622dfea50f8c8"/>
      <w:r>
        <w:rPr>
          <w:rFonts w:hint="eastAsia" w:ascii="宋体" w:hAnsi="宋体" w:cs="宋体"/>
          <w:sz w:val="24"/>
          <w:szCs w:val="24"/>
          <w:highlight w:val="none"/>
        </w:rPr>
        <w:t xml:space="preserve">不得晚于〔开工通知〕载明的开工日期前 7 天</w:t>
      </w:r>
      <w:bookmarkEnd w:id="462"/>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63" w:name="_Toc14462"/>
      <w:r>
        <w:rPr>
          <w:rFonts w:hint="eastAsia" w:ascii="宋体" w:hAnsi="宋体" w:cs="宋体"/>
          <w:sz w:val="24"/>
          <w:szCs w:val="24"/>
          <w:highlight w:val="none"/>
        </w:rPr>
        <w:t xml:space="preserve">7</w:t>
      </w:r>
      <w:bookmarkStart w:id="464" w:name="_Toc312677484"/>
      <w:r>
        <w:rPr>
          <w:highlight w:val="none"/>
        </w:rPr>
      </w:r>
      <w:bookmarkStart w:id="465" w:name="_Toc303539125"/>
      <w:r>
        <w:rPr>
          <w:highlight w:val="none"/>
        </w:rPr>
      </w:r>
      <w:bookmarkStart w:id="466" w:name="_Toc300934968"/>
      <w:r>
        <w:rPr>
          <w:highlight w:val="none"/>
        </w:rPr>
      </w:r>
      <w:bookmarkStart w:id="467" w:name="_Toc312678010"/>
      <w:r>
        <w:rPr>
          <w:highlight w:val="none"/>
        </w:rPr>
      </w:r>
      <w:bookmarkStart w:id="468" w:name="_Toc304295546"/>
      <w:r>
        <w:rPr>
          <w:highlight w:val="none"/>
        </w:rPr>
      </w:r>
      <w:bookmarkStart w:id="469" w:name="_Toc297216175"/>
      <w:r>
        <w:rPr>
          <w:highlight w:val="none"/>
        </w:rPr>
      </w:r>
      <w:bookmarkStart w:id="470" w:name="_Toc297123516"/>
      <w:r>
        <w:rPr>
          <w:rFonts w:hint="eastAsia" w:ascii="宋体" w:hAnsi="宋体" w:cs="宋体"/>
          <w:sz w:val="24"/>
          <w:szCs w:val="24"/>
          <w:highlight w:val="none"/>
        </w:rPr>
        <w:t xml:space="preserve">.5 工期延误</w:t>
      </w:r>
      <w:bookmarkEnd w:id="463"/>
      <w:r>
        <w:rPr>
          <w:highlight w:val="none"/>
        </w:rPr>
      </w:r>
      <w:bookmarkEnd w:id="464"/>
      <w:r>
        <w:rPr>
          <w:highlight w:val="none"/>
        </w:rPr>
      </w:r>
      <w:bookmarkEnd w:id="465"/>
      <w:r>
        <w:rPr>
          <w:highlight w:val="none"/>
        </w:rPr>
      </w:r>
      <w:bookmarkEnd w:id="466"/>
      <w:r>
        <w:rPr>
          <w:highlight w:val="none"/>
        </w:rPr>
      </w:r>
      <w:bookmarkEnd w:id="467"/>
      <w:r>
        <w:rPr>
          <w:highlight w:val="none"/>
        </w:rPr>
      </w:r>
      <w:bookmarkEnd w:id="468"/>
      <w:r>
        <w:rPr>
          <w:highlight w:val="none"/>
        </w:rPr>
      </w:r>
      <w:bookmarkEnd w:id="469"/>
      <w:r>
        <w:rPr>
          <w:highlight w:val="none"/>
        </w:rPr>
      </w:r>
      <w:bookmarkEnd w:id="470"/>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7.5.1 因发包人原因导致工期延误</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（7）因发包人原因导致工期延误的其他情形：</w:t>
      </w:r>
      <w:bookmarkStart w:id="471" w:name="EB2d153101c980422d8e15a67f6f8b32cf"/>
      <w:r>
        <w:rPr>
          <w:rFonts w:hint="eastAsia" w:ascii="宋体" w:hAnsi="宋体" w:cs="宋体"/>
          <w:sz w:val="24"/>
          <w:szCs w:val="24"/>
          <w:highlight w:val="none"/>
        </w:rPr>
        <w:t xml:space="preserve">根据通用合同条款</w:t>
      </w:r>
      <w:bookmarkEnd w:id="471"/>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7</w:t>
      </w:r>
      <w:bookmarkStart w:id="472" w:name="_Toc312677486"/>
      <w:r>
        <w:rPr>
          <w:highlight w:val="none"/>
        </w:rPr>
      </w:r>
      <w:bookmarkStart w:id="473" w:name="_Toc318581169"/>
      <w:r>
        <w:rPr>
          <w:highlight w:val="none"/>
        </w:rPr>
      </w:r>
      <w:bookmarkStart w:id="474" w:name="_Toc312678012"/>
      <w:r>
        <w:rPr>
          <w:highlight w:val="none"/>
        </w:rPr>
      </w:r>
      <w:bookmarkStart w:id="475" w:name="_Toc303539127"/>
      <w:r>
        <w:rPr>
          <w:highlight w:val="none"/>
        </w:rPr>
      </w:r>
      <w:bookmarkStart w:id="476" w:name="_Toc297123518"/>
      <w:r>
        <w:rPr>
          <w:highlight w:val="none"/>
        </w:rPr>
      </w:r>
      <w:bookmarkStart w:id="477" w:name="_Toc300934970"/>
      <w:r>
        <w:rPr>
          <w:highlight w:val="none"/>
        </w:rPr>
      </w:r>
      <w:bookmarkStart w:id="478" w:name="_Toc304295548"/>
      <w:r>
        <w:rPr>
          <w:highlight w:val="none"/>
        </w:rPr>
      </w:r>
      <w:bookmarkStart w:id="479" w:name="_Toc297216177"/>
      <w:r>
        <w:rPr>
          <w:rFonts w:hint="eastAsia" w:ascii="宋体" w:hAnsi="宋体" w:cs="宋体"/>
          <w:sz w:val="24"/>
          <w:szCs w:val="24"/>
          <w:highlight w:val="none"/>
        </w:rPr>
        <w:t xml:space="preserve">.5.2 因承包人原因导致工期延误</w:t>
      </w:r>
      <w:bookmarkEnd w:id="472"/>
      <w:r>
        <w:rPr>
          <w:highlight w:val="none"/>
        </w:rPr>
      </w:r>
      <w:bookmarkEnd w:id="473"/>
      <w:r>
        <w:rPr>
          <w:highlight w:val="none"/>
        </w:rPr>
      </w:r>
      <w:bookmarkEnd w:id="474"/>
      <w:r>
        <w:rPr>
          <w:highlight w:val="none"/>
        </w:rPr>
      </w:r>
      <w:r/>
    </w:p>
    <w:p>
      <w:pPr>
        <w:ind w:firstLine="480"/>
        <w:jc w:val="left"/>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因</w:t>
      </w:r>
      <w:bookmarkStart w:id="480" w:name="_Toc318581170"/>
      <w:r>
        <w:rPr>
          <w:highlight w:val="none"/>
        </w:rPr>
      </w:r>
      <w:bookmarkStart w:id="481" w:name="_Toc312677487"/>
      <w:r>
        <w:rPr>
          <w:highlight w:val="none"/>
        </w:rPr>
      </w:r>
      <w:bookmarkStart w:id="482" w:name="_Toc312678013"/>
      <w:r>
        <w:rPr>
          <w:rFonts w:hint="eastAsia" w:ascii="宋体" w:hAnsi="宋体" w:cs="宋体"/>
          <w:sz w:val="24"/>
          <w:szCs w:val="24"/>
          <w:highlight w:val="none"/>
        </w:rPr>
        <w:t xml:space="preserve">承包人原因造成工期延误，逾期竣工违约金的计算方法为：</w:t>
      </w:r>
      <w:bookmarkEnd w:id="475"/>
      <w:r>
        <w:rPr>
          <w:highlight w:val="none"/>
        </w:rPr>
      </w:r>
      <w:bookmarkEnd w:id="476"/>
      <w:r>
        <w:rPr>
          <w:highlight w:val="none"/>
        </w:rPr>
      </w:r>
      <w:bookmarkEnd w:id="477"/>
      <w:r>
        <w:rPr>
          <w:highlight w:val="none"/>
        </w:rPr>
      </w:r>
      <w:bookmarkEnd w:id="478"/>
      <w:r>
        <w:rPr>
          <w:highlight w:val="none"/>
        </w:rPr>
      </w:r>
      <w:bookmarkEnd w:id="479"/>
      <w:r>
        <w:rPr>
          <w:highlight w:val="none"/>
        </w:rPr>
      </w:r>
      <w:bookmarkEnd w:id="480"/>
      <w:r>
        <w:rPr>
          <w:highlight w:val="none"/>
        </w:rPr>
      </w:r>
      <w:bookmarkEnd w:id="481"/>
      <w:r>
        <w:rPr>
          <w:highlight w:val="none"/>
        </w:rPr>
      </w:r>
      <w:bookmarkEnd w:id="482"/>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楷体"/>
          <w:color w:val="auto"/>
          <w:sz w:val="24"/>
          <w:szCs w:val="24"/>
          <w:highlight w:val="none"/>
          <w:u w:val="single"/>
          <w:lang w:val="en-US" w:eastAsia="zh-CN"/>
        </w:rPr>
        <w:t xml:space="preserve">合同工期按本合同相关条款约定的工期，如工期延误，应承担违约责任，甲方有权进行处罚，按每延误一天处罚2000元，此处罚不能解除乙方应完成工程的责任和合同规定的其他责任 。</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因承包人原因造成工期延误，逾</w:t>
      </w:r>
      <w:bookmarkStart w:id="483" w:name="_Toc318581171"/>
      <w:r>
        <w:rPr>
          <w:highlight w:val="none"/>
        </w:rPr>
      </w:r>
      <w:bookmarkStart w:id="484" w:name="_Toc312678014"/>
      <w:r>
        <w:rPr>
          <w:rFonts w:hint="eastAsia" w:ascii="宋体" w:hAnsi="宋体" w:cs="宋体"/>
          <w:sz w:val="24"/>
          <w:szCs w:val="24"/>
          <w:highlight w:val="none"/>
        </w:rPr>
        <w:t xml:space="preserve">期竣工违约金的上限：</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bookmarkEnd w:id="483"/>
      <w:r>
        <w:rPr>
          <w:highlight w:val="none"/>
        </w:rPr>
      </w:r>
      <w:bookmarkEnd w:id="484"/>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485" w:name="_Toc9116"/>
      <w:r>
        <w:rPr>
          <w:rFonts w:hint="eastAsia" w:ascii="宋体" w:hAnsi="宋体" w:cs="宋体"/>
          <w:sz w:val="24"/>
          <w:szCs w:val="24"/>
          <w:highlight w:val="none"/>
        </w:rPr>
        <w:t xml:space="preserve">7</w:t>
      </w:r>
      <w:bookmarkStart w:id="486" w:name="_Toc304295549"/>
      <w:r>
        <w:rPr>
          <w:highlight w:val="none"/>
        </w:rPr>
      </w:r>
      <w:bookmarkStart w:id="487" w:name="_Toc297216178"/>
      <w:r>
        <w:rPr>
          <w:highlight w:val="none"/>
        </w:rPr>
      </w:r>
      <w:bookmarkStart w:id="488" w:name="_Toc312678015"/>
      <w:r>
        <w:rPr>
          <w:highlight w:val="none"/>
        </w:rPr>
      </w:r>
      <w:bookmarkStart w:id="489" w:name="_Toc300934971"/>
      <w:r>
        <w:rPr>
          <w:highlight w:val="none"/>
        </w:rPr>
      </w:r>
      <w:bookmarkStart w:id="490" w:name="_Toc303539128"/>
      <w:r>
        <w:rPr>
          <w:highlight w:val="none"/>
        </w:rPr>
      </w:r>
      <w:bookmarkStart w:id="491" w:name="_Toc297123519"/>
      <w:r>
        <w:rPr>
          <w:rFonts w:hint="eastAsia" w:ascii="宋体" w:hAnsi="宋体" w:cs="宋体"/>
          <w:sz w:val="24"/>
          <w:szCs w:val="24"/>
          <w:highlight w:val="none"/>
        </w:rPr>
        <w:t xml:space="preserve">.6 不</w:t>
      </w:r>
      <w:bookmarkEnd w:id="486"/>
      <w:r>
        <w:rPr>
          <w:highlight w:val="none"/>
        </w:rPr>
      </w:r>
      <w:bookmarkEnd w:id="487"/>
      <w:r>
        <w:rPr>
          <w:highlight w:val="none"/>
        </w:rPr>
      </w:r>
      <w:bookmarkEnd w:id="488"/>
      <w:r>
        <w:rPr>
          <w:highlight w:val="none"/>
        </w:rPr>
      </w:r>
      <w:bookmarkEnd w:id="489"/>
      <w:r>
        <w:rPr>
          <w:highlight w:val="none"/>
        </w:rPr>
      </w:r>
      <w:bookmarkEnd w:id="490"/>
      <w:r>
        <w:rPr>
          <w:highlight w:val="none"/>
        </w:rPr>
      </w:r>
      <w:bookmarkEnd w:id="491"/>
      <w:r>
        <w:rPr>
          <w:rFonts w:hint="eastAsia" w:ascii="宋体" w:hAnsi="宋体" w:cs="宋体"/>
          <w:sz w:val="24"/>
          <w:szCs w:val="24"/>
          <w:highlight w:val="none"/>
        </w:rPr>
        <w:t xml:space="preserve">利物质条件</w:t>
      </w:r>
      <w:bookmarkEnd w:id="485"/>
      <w:r>
        <w:rPr>
          <w:highlight w:val="none"/>
        </w:rPr>
      </w:r>
      <w:r/>
    </w:p>
    <w:p>
      <w:pPr>
        <w:jc w:val="left"/>
        <w:spacing w:line="300" w:lineRule="exact"/>
        <w:rPr>
          <w:rFonts w:hint="eastAsia" w:ascii="宋体" w:hAnsi="宋体" w:cs="宋体"/>
          <w:sz w:val="24"/>
          <w:szCs w:val="24"/>
          <w:highlight w:val="none"/>
        </w:rPr>
      </w:pPr>
      <w:r>
        <w:rPr>
          <w:highlight w:val="none"/>
        </w:rPr>
      </w:r>
      <w:bookmarkStart w:id="492" w:name="_Toc303539129"/>
      <w:r>
        <w:rPr>
          <w:highlight w:val="none"/>
        </w:rPr>
      </w:r>
      <w:bookmarkStart w:id="493" w:name="_Toc297123520"/>
      <w:r>
        <w:rPr>
          <w:highlight w:val="none"/>
        </w:rPr>
      </w:r>
      <w:bookmarkStart w:id="494" w:name="_Toc304295550"/>
      <w:r>
        <w:rPr>
          <w:highlight w:val="none"/>
        </w:rPr>
      </w:r>
      <w:bookmarkStart w:id="495" w:name="_Toc318581172"/>
      <w:r>
        <w:rPr>
          <w:highlight w:val="none"/>
        </w:rPr>
      </w:r>
      <w:bookmarkStart w:id="496" w:name="_Toc300934972"/>
      <w:r>
        <w:rPr>
          <w:highlight w:val="none"/>
        </w:rPr>
      </w:r>
      <w:bookmarkStart w:id="497" w:name="_Toc312678016"/>
      <w:r>
        <w:rPr>
          <w:highlight w:val="none"/>
        </w:rPr>
      </w:r>
      <w:bookmarkStart w:id="498" w:name="_Toc297216179"/>
      <w:r>
        <w:rPr>
          <w:rFonts w:hint="eastAsia" w:ascii="宋体" w:hAnsi="宋体" w:cs="宋体"/>
          <w:sz w:val="24"/>
          <w:szCs w:val="24"/>
          <w:highlight w:val="none"/>
        </w:rPr>
        <w:t xml:space="preserve">不利物质条件的其他情形和有关约定：</w:t>
      </w:r>
      <w:bookmarkStart w:id="499" w:name="EB35fa5063941641a8be92d6bb8a0fbec5"/>
      <w:r>
        <w:rPr>
          <w:rFonts w:hint="eastAsia" w:ascii="宋体" w:hAnsi="宋体" w:cs="宋体"/>
          <w:sz w:val="24"/>
          <w:szCs w:val="24"/>
          <w:highlight w:val="none"/>
        </w:rPr>
        <w:t xml:space="preserve">根据通用合同条款</w:t>
      </w:r>
      <w:bookmarkEnd w:id="499"/>
      <w:r>
        <w:rPr>
          <w:rFonts w:hint="eastAsia" w:ascii="宋体" w:hAnsi="宋体" w:cs="宋体"/>
          <w:sz w:val="24"/>
          <w:szCs w:val="24"/>
          <w:highlight w:val="none"/>
        </w:rPr>
        <w:t xml:space="preserve">。</w:t>
      </w:r>
      <w:bookmarkEnd w:id="492"/>
      <w:r>
        <w:rPr>
          <w:highlight w:val="none"/>
        </w:rPr>
      </w:r>
      <w:bookmarkEnd w:id="493"/>
      <w:r>
        <w:rPr>
          <w:highlight w:val="none"/>
        </w:rPr>
      </w:r>
      <w:bookmarkEnd w:id="494"/>
      <w:r>
        <w:rPr>
          <w:highlight w:val="none"/>
        </w:rPr>
      </w:r>
      <w:bookmarkEnd w:id="495"/>
      <w:r>
        <w:rPr>
          <w:highlight w:val="none"/>
        </w:rPr>
      </w:r>
      <w:bookmarkEnd w:id="496"/>
      <w:r>
        <w:rPr>
          <w:highlight w:val="none"/>
        </w:rPr>
      </w:r>
      <w:bookmarkEnd w:id="497"/>
      <w:r>
        <w:rPr>
          <w:highlight w:val="none"/>
        </w:rPr>
      </w:r>
      <w:bookmarkEnd w:id="498"/>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500" w:name="_Toc12718"/>
      <w:r>
        <w:rPr>
          <w:rFonts w:hint="eastAsia" w:ascii="宋体" w:hAnsi="宋体" w:cs="宋体"/>
          <w:sz w:val="24"/>
          <w:szCs w:val="24"/>
          <w:highlight w:val="none"/>
        </w:rPr>
        <w:t xml:space="preserve">7</w:t>
      </w:r>
      <w:bookmarkStart w:id="501" w:name="_Toc300934973"/>
      <w:r>
        <w:rPr>
          <w:highlight w:val="none"/>
        </w:rPr>
      </w:r>
      <w:bookmarkStart w:id="502" w:name="_Toc312678017"/>
      <w:r>
        <w:rPr>
          <w:highlight w:val="none"/>
        </w:rPr>
      </w:r>
      <w:bookmarkStart w:id="503" w:name="_Toc297216180"/>
      <w:r>
        <w:rPr>
          <w:highlight w:val="none"/>
        </w:rPr>
      </w:r>
      <w:bookmarkStart w:id="504" w:name="_Toc304295551"/>
      <w:r>
        <w:rPr>
          <w:highlight w:val="none"/>
        </w:rPr>
      </w:r>
      <w:bookmarkStart w:id="505" w:name="_Toc297123521"/>
      <w:r>
        <w:rPr>
          <w:highlight w:val="none"/>
        </w:rPr>
      </w:r>
      <w:bookmarkStart w:id="506" w:name="_Toc303539130"/>
      <w:r>
        <w:rPr>
          <w:rFonts w:hint="eastAsia" w:ascii="宋体" w:hAnsi="宋体" w:cs="宋体"/>
          <w:sz w:val="24"/>
          <w:szCs w:val="24"/>
          <w:highlight w:val="none"/>
        </w:rPr>
        <w:t xml:space="preserve">.7异常恶劣的气候条件</w:t>
      </w:r>
      <w:bookmarkEnd w:id="500"/>
      <w:r>
        <w:rPr>
          <w:highlight w:val="none"/>
        </w:rPr>
      </w:r>
      <w:bookmarkEnd w:id="501"/>
      <w:r>
        <w:rPr>
          <w:highlight w:val="none"/>
        </w:rPr>
      </w:r>
      <w:bookmarkEnd w:id="502"/>
      <w:r>
        <w:rPr>
          <w:highlight w:val="none"/>
        </w:rPr>
      </w:r>
      <w:bookmarkEnd w:id="503"/>
      <w:r>
        <w:rPr>
          <w:highlight w:val="none"/>
        </w:rPr>
      </w:r>
      <w:bookmarkEnd w:id="504"/>
      <w:r>
        <w:rPr>
          <w:highlight w:val="none"/>
        </w:rPr>
      </w:r>
      <w:bookmarkEnd w:id="505"/>
      <w:r>
        <w:rPr>
          <w:highlight w:val="none"/>
        </w:rPr>
      </w:r>
      <w:bookmarkEnd w:id="506"/>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发包人和承包人同意以下情形视为异常恶劣的气候条件：</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（1）</w:t>
      </w:r>
      <w:bookmarkStart w:id="507" w:name="EBb7f2d92b33f24a51a688d5e157f561be"/>
      <w:r>
        <w:rPr>
          <w:rFonts w:hint="eastAsia" w:ascii="宋体" w:hAnsi="宋体" w:cs="宋体"/>
          <w:sz w:val="24"/>
          <w:szCs w:val="24"/>
          <w:highlight w:val="none"/>
          <w:u w:val="single"/>
        </w:rPr>
        <w:t xml:space="preserve">里氏 5.5 级及以上的地震</w:t>
      </w:r>
      <w:bookmarkEnd w:id="507"/>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（2）</w:t>
      </w:r>
      <w:bookmarkStart w:id="508" w:name="EB86e700eee6744be39d839e599f78f506"/>
      <w:r>
        <w:rPr>
          <w:rFonts w:hint="eastAsia" w:ascii="宋体" w:hAnsi="宋体" w:cs="宋体"/>
          <w:sz w:val="24"/>
          <w:szCs w:val="24"/>
          <w:highlight w:val="none"/>
          <w:u w:val="single"/>
        </w:rPr>
        <w:t xml:space="preserve">8 级以上大风（以句容市气象台资料为准）</w:t>
      </w:r>
      <w:bookmarkEnd w:id="508"/>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（3）</w:t>
      </w:r>
      <w:bookmarkStart w:id="509" w:name="EB975a5b9780494bc39073cd0ea1313252"/>
      <w:r>
        <w:rPr>
          <w:rFonts w:hint="eastAsia" w:ascii="宋体" w:hAnsi="宋体" w:cs="宋体"/>
          <w:sz w:val="24"/>
          <w:szCs w:val="24"/>
          <w:highlight w:val="none"/>
          <w:u w:val="single"/>
        </w:rPr>
        <w:t xml:space="preserve">日降雨雪量达到 100mm 以上</w:t>
      </w:r>
      <w:bookmarkEnd w:id="509"/>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510" w:name="_Toc28772"/>
      <w:r>
        <w:rPr>
          <w:rFonts w:hint="eastAsia" w:ascii="宋体" w:hAnsi="宋体" w:cs="宋体"/>
          <w:sz w:val="24"/>
          <w:szCs w:val="24"/>
          <w:highlight w:val="none"/>
        </w:rPr>
        <w:t xml:space="preserve">7.9 提前竣工的奖励</w:t>
      </w:r>
      <w:bookmarkEnd w:id="510"/>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7.9.2提前竣工的奖励：</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outlineLvl w:val="1"/>
      </w:pPr>
      <w:r>
        <w:rPr>
          <w:highlight w:val="none"/>
        </w:rPr>
      </w:r>
      <w:bookmarkStart w:id="511" w:name="_Toc351203640"/>
      <w:r>
        <w:rPr>
          <w:highlight w:val="none"/>
        </w:rPr>
      </w:r>
      <w:bookmarkStart w:id="512" w:name="_Toc13296"/>
      <w:r>
        <w:rPr>
          <w:rFonts w:hint="eastAsia" w:ascii="宋体" w:hAnsi="宋体" w:cs="宋体"/>
          <w:sz w:val="24"/>
          <w:szCs w:val="24"/>
          <w:highlight w:val="none"/>
        </w:rPr>
        <w:t xml:space="preserve">8. 材料与设备</w:t>
      </w:r>
      <w:bookmarkEnd w:id="420"/>
      <w:r>
        <w:rPr>
          <w:highlight w:val="none"/>
        </w:rPr>
      </w:r>
      <w:bookmarkEnd w:id="421"/>
      <w:r>
        <w:rPr>
          <w:highlight w:val="none"/>
        </w:rPr>
      </w:r>
      <w:bookmarkEnd w:id="422"/>
      <w:r>
        <w:rPr>
          <w:highlight w:val="none"/>
        </w:rPr>
      </w:r>
      <w:bookmarkEnd w:id="423"/>
      <w:r>
        <w:rPr>
          <w:highlight w:val="none"/>
        </w:rPr>
      </w:r>
      <w:bookmarkEnd w:id="424"/>
      <w:r>
        <w:rPr>
          <w:highlight w:val="none"/>
        </w:rPr>
      </w:r>
      <w:bookmarkEnd w:id="425"/>
      <w:r>
        <w:rPr>
          <w:highlight w:val="none"/>
        </w:rPr>
      </w:r>
      <w:bookmarkEnd w:id="426"/>
      <w:r>
        <w:rPr>
          <w:highlight w:val="none"/>
        </w:rPr>
      </w:r>
      <w:bookmarkEnd w:id="427"/>
      <w:r>
        <w:rPr>
          <w:highlight w:val="none"/>
        </w:rPr>
      </w:r>
      <w:bookmarkEnd w:id="428"/>
      <w:r>
        <w:rPr>
          <w:highlight w:val="none"/>
        </w:rPr>
      </w:r>
      <w:bookmarkEnd w:id="429"/>
      <w:r>
        <w:rPr>
          <w:highlight w:val="none"/>
        </w:rPr>
      </w:r>
      <w:bookmarkEnd w:id="511"/>
      <w:r>
        <w:rPr>
          <w:highlight w:val="none"/>
        </w:rPr>
      </w:r>
      <w:bookmarkEnd w:id="512"/>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513" w:name="_Toc31477"/>
      <w:r>
        <w:rPr>
          <w:rFonts w:hint="eastAsia" w:ascii="宋体" w:hAnsi="宋体" w:cs="宋体"/>
          <w:sz w:val="24"/>
          <w:szCs w:val="24"/>
          <w:highlight w:val="none"/>
        </w:rPr>
        <w:t xml:space="preserve">8</w:t>
      </w:r>
      <w:bookmarkStart w:id="514" w:name="_Toc304295556"/>
      <w:r>
        <w:rPr>
          <w:highlight w:val="none"/>
        </w:rPr>
      </w:r>
      <w:bookmarkStart w:id="515" w:name="_Toc312678019"/>
      <w:r>
        <w:rPr>
          <w:highlight w:val="none"/>
        </w:rPr>
      </w:r>
      <w:bookmarkStart w:id="516" w:name="_Toc296503167"/>
      <w:r>
        <w:rPr>
          <w:highlight w:val="none"/>
        </w:rPr>
      </w:r>
      <w:bookmarkStart w:id="517" w:name="_Toc297048353"/>
      <w:r>
        <w:rPr>
          <w:highlight w:val="none"/>
        </w:rPr>
      </w:r>
      <w:bookmarkStart w:id="518" w:name="_Toc296944506"/>
      <w:r>
        <w:rPr>
          <w:highlight w:val="none"/>
        </w:rPr>
      </w:r>
      <w:bookmarkStart w:id="519" w:name="_Toc297120467"/>
      <w:r>
        <w:rPr>
          <w:highlight w:val="none"/>
        </w:rPr>
      </w:r>
      <w:bookmarkStart w:id="520" w:name="_Toc296347166"/>
      <w:r>
        <w:rPr>
          <w:highlight w:val="none"/>
        </w:rPr>
      </w:r>
      <w:bookmarkStart w:id="521" w:name="_Toc303539136"/>
      <w:r>
        <w:rPr>
          <w:highlight w:val="none"/>
        </w:rPr>
      </w:r>
      <w:bookmarkStart w:id="522" w:name="_Toc297216186"/>
      <w:r>
        <w:rPr>
          <w:highlight w:val="none"/>
        </w:rPr>
      </w:r>
      <w:bookmarkStart w:id="523" w:name="_Toc296891207"/>
      <w:r>
        <w:rPr>
          <w:highlight w:val="none"/>
        </w:rPr>
      </w:r>
      <w:bookmarkStart w:id="524" w:name="_Toc297123527"/>
      <w:r>
        <w:rPr>
          <w:highlight w:val="none"/>
        </w:rPr>
      </w:r>
      <w:bookmarkStart w:id="525" w:name="_Toc296890995"/>
      <w:r>
        <w:rPr>
          <w:highlight w:val="none"/>
        </w:rPr>
      </w:r>
      <w:bookmarkStart w:id="526" w:name="_Toc296346668"/>
      <w:r>
        <w:rPr>
          <w:highlight w:val="none"/>
        </w:rPr>
      </w:r>
      <w:bookmarkStart w:id="527" w:name="_Toc292559877"/>
      <w:r>
        <w:rPr>
          <w:highlight w:val="none"/>
        </w:rPr>
      </w:r>
      <w:bookmarkStart w:id="528" w:name="_Toc280868654"/>
      <w:r>
        <w:rPr>
          <w:highlight w:val="none"/>
        </w:rPr>
      </w:r>
      <w:bookmarkStart w:id="529" w:name="_Toc292559372"/>
      <w:r>
        <w:rPr>
          <w:highlight w:val="none"/>
        </w:rPr>
      </w:r>
      <w:bookmarkStart w:id="530" w:name="_Toc300934979"/>
      <w:r>
        <w:rPr>
          <w:highlight w:val="none"/>
        </w:rPr>
      </w:r>
      <w:bookmarkStart w:id="531" w:name="_Toc312677493"/>
      <w:r>
        <w:rPr>
          <w:highlight w:val="none"/>
        </w:rPr>
      </w:r>
      <w:bookmarkStart w:id="532" w:name="_Toc267251424"/>
      <w:r>
        <w:rPr>
          <w:highlight w:val="none"/>
        </w:rPr>
      </w:r>
      <w:bookmarkStart w:id="533" w:name="_Toc280868656"/>
      <w:r>
        <w:rPr>
          <w:highlight w:val="none"/>
        </w:rPr>
      </w:r>
      <w:bookmarkStart w:id="534" w:name="_Toc280868655"/>
      <w:r>
        <w:rPr>
          <w:rFonts w:hint="eastAsia" w:ascii="宋体" w:hAnsi="宋体" w:cs="宋体"/>
          <w:sz w:val="24"/>
          <w:szCs w:val="24"/>
          <w:highlight w:val="none"/>
        </w:rPr>
        <w:t xml:space="preserve">.4材料与工程设备的保管与使用</w:t>
      </w:r>
      <w:bookmarkEnd w:id="513"/>
      <w:r>
        <w:rPr>
          <w:highlight w:val="none"/>
        </w:rPr>
      </w:r>
      <w:bookmarkEnd w:id="514"/>
      <w:r>
        <w:rPr>
          <w:highlight w:val="none"/>
        </w:rPr>
      </w:r>
      <w:bookmarkEnd w:id="515"/>
      <w:r>
        <w:rPr>
          <w:highlight w:val="none"/>
        </w:rPr>
      </w:r>
      <w:bookmarkEnd w:id="516"/>
      <w:r>
        <w:rPr>
          <w:highlight w:val="none"/>
        </w:rPr>
      </w:r>
      <w:bookmarkEnd w:id="517"/>
      <w:r>
        <w:rPr>
          <w:highlight w:val="none"/>
        </w:rPr>
      </w:r>
      <w:bookmarkEnd w:id="518"/>
      <w:r>
        <w:rPr>
          <w:highlight w:val="none"/>
        </w:rPr>
      </w:r>
      <w:bookmarkEnd w:id="519"/>
      <w:r>
        <w:rPr>
          <w:highlight w:val="none"/>
        </w:rPr>
      </w:r>
      <w:bookmarkEnd w:id="520"/>
      <w:r>
        <w:rPr>
          <w:highlight w:val="none"/>
        </w:rPr>
      </w:r>
      <w:bookmarkEnd w:id="521"/>
      <w:r>
        <w:rPr>
          <w:highlight w:val="none"/>
        </w:rPr>
      </w:r>
      <w:bookmarkEnd w:id="522"/>
      <w:r>
        <w:rPr>
          <w:highlight w:val="none"/>
        </w:rPr>
      </w:r>
      <w:bookmarkEnd w:id="523"/>
      <w:r>
        <w:rPr>
          <w:highlight w:val="none"/>
        </w:rPr>
      </w:r>
      <w:bookmarkEnd w:id="524"/>
      <w:r>
        <w:rPr>
          <w:highlight w:val="none"/>
        </w:rPr>
      </w:r>
      <w:bookmarkEnd w:id="525"/>
      <w:r>
        <w:rPr>
          <w:highlight w:val="none"/>
        </w:rPr>
      </w:r>
      <w:bookmarkEnd w:id="526"/>
      <w:r>
        <w:rPr>
          <w:highlight w:val="none"/>
        </w:rPr>
      </w:r>
      <w:bookmarkEnd w:id="527"/>
      <w:r>
        <w:rPr>
          <w:highlight w:val="none"/>
        </w:rPr>
      </w:r>
      <w:bookmarkEnd w:id="528"/>
      <w:r>
        <w:rPr>
          <w:highlight w:val="none"/>
        </w:rPr>
      </w:r>
      <w:bookmarkEnd w:id="529"/>
      <w:r>
        <w:rPr>
          <w:highlight w:val="none"/>
        </w:rPr>
      </w:r>
      <w:bookmarkEnd w:id="530"/>
      <w:r>
        <w:rPr>
          <w:highlight w:val="none"/>
        </w:rPr>
      </w:r>
      <w:bookmarkEnd w:id="531"/>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8</w:t>
      </w:r>
      <w:bookmarkStart w:id="535" w:name="_Toc292559373"/>
      <w:r>
        <w:rPr>
          <w:highlight w:val="none"/>
        </w:rPr>
      </w:r>
      <w:bookmarkStart w:id="536" w:name="_Toc292559878"/>
      <w:r>
        <w:rPr>
          <w:highlight w:val="none"/>
        </w:rPr>
      </w:r>
      <w:bookmarkStart w:id="537" w:name="_Toc312678020"/>
      <w:r>
        <w:rPr>
          <w:highlight w:val="none"/>
        </w:rPr>
      </w:r>
      <w:bookmarkStart w:id="538" w:name="_Toc296346669"/>
      <w:r>
        <w:rPr>
          <w:highlight w:val="none"/>
        </w:rPr>
      </w:r>
      <w:bookmarkStart w:id="539" w:name="_Toc300934980"/>
      <w:r>
        <w:rPr>
          <w:highlight w:val="none"/>
        </w:rPr>
      </w:r>
      <w:bookmarkStart w:id="540" w:name="_Toc297123528"/>
      <w:r>
        <w:rPr>
          <w:highlight w:val="none"/>
        </w:rPr>
      </w:r>
      <w:bookmarkStart w:id="541" w:name="_Toc318581173"/>
      <w:r>
        <w:rPr>
          <w:highlight w:val="none"/>
        </w:rPr>
      </w:r>
      <w:bookmarkStart w:id="542" w:name="_Toc296891208"/>
      <w:r>
        <w:rPr>
          <w:highlight w:val="none"/>
        </w:rPr>
      </w:r>
      <w:bookmarkStart w:id="543" w:name="_Toc297120468"/>
      <w:r>
        <w:rPr>
          <w:highlight w:val="none"/>
        </w:rPr>
      </w:r>
      <w:bookmarkStart w:id="544" w:name="_Toc304295557"/>
      <w:r>
        <w:rPr>
          <w:highlight w:val="none"/>
        </w:rPr>
      </w:r>
      <w:bookmarkStart w:id="545" w:name="_Toc296890996"/>
      <w:r>
        <w:rPr>
          <w:highlight w:val="none"/>
        </w:rPr>
      </w:r>
      <w:bookmarkStart w:id="546" w:name="_Toc296944507"/>
      <w:r>
        <w:rPr>
          <w:highlight w:val="none"/>
        </w:rPr>
      </w:r>
      <w:bookmarkStart w:id="547" w:name="_Toc297216187"/>
      <w:r>
        <w:rPr>
          <w:highlight w:val="none"/>
        </w:rPr>
      </w:r>
      <w:bookmarkStart w:id="548" w:name="_Toc303539137"/>
      <w:r>
        <w:rPr>
          <w:highlight w:val="none"/>
        </w:rPr>
      </w:r>
      <w:bookmarkStart w:id="549" w:name="_Toc312677494"/>
      <w:r>
        <w:rPr>
          <w:highlight w:val="none"/>
        </w:rPr>
      </w:r>
      <w:bookmarkStart w:id="550" w:name="_Toc297048354"/>
      <w:r>
        <w:rPr>
          <w:highlight w:val="none"/>
        </w:rPr>
      </w:r>
      <w:bookmarkStart w:id="551" w:name="_Toc296503168"/>
      <w:r>
        <w:rPr>
          <w:highlight w:val="none"/>
        </w:rPr>
      </w:r>
      <w:bookmarkStart w:id="552" w:name="_Toc296347167"/>
      <w:r>
        <w:rPr>
          <w:rFonts w:hint="eastAsia" w:ascii="宋体" w:hAnsi="宋体" w:cs="宋体"/>
          <w:sz w:val="24"/>
          <w:szCs w:val="24"/>
          <w:highlight w:val="none"/>
        </w:rPr>
        <w:t xml:space="preserve">.4.1发包人供应的材料设备的保管费用的承担：</w:t>
      </w:r>
      <w:bookmarkStart w:id="553" w:name="EB1ecccb44378d46ffba4587fa7c454a64"/>
      <w:r>
        <w:rPr>
          <w:rFonts w:hint="eastAsia" w:ascii="宋体" w:hAnsi="宋体" w:cs="宋体"/>
          <w:sz w:val="24"/>
          <w:szCs w:val="24"/>
          <w:highlight w:val="none"/>
        </w:rPr>
        <w:t xml:space="preserve">执行通用条款</w:t>
      </w:r>
      <w:bookmarkEnd w:id="553"/>
      <w:r>
        <w:rPr>
          <w:rFonts w:hint="eastAsia" w:ascii="宋体" w:hAnsi="宋体" w:cs="宋体"/>
          <w:sz w:val="24"/>
          <w:szCs w:val="24"/>
          <w:highlight w:val="none"/>
        </w:rPr>
        <w:t xml:space="preserve">。</w:t>
      </w:r>
      <w:bookmarkEnd w:id="535"/>
      <w:r>
        <w:rPr>
          <w:highlight w:val="none"/>
        </w:rPr>
      </w:r>
      <w:bookmarkEnd w:id="536"/>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554" w:name="_Toc32470"/>
      <w:r>
        <w:rPr>
          <w:rFonts w:hint="eastAsia" w:ascii="宋体" w:hAnsi="宋体" w:cs="宋体"/>
          <w:sz w:val="24"/>
          <w:szCs w:val="24"/>
          <w:highlight w:val="none"/>
        </w:rPr>
        <w:t xml:space="preserve">8.6 样品</w:t>
      </w:r>
      <w:bookmarkEnd w:id="554"/>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8.6.1</w:t>
      </w:r>
      <w:r>
        <w:rPr>
          <w:rFonts w:hint="eastAsia" w:ascii="宋体" w:hAnsi="宋体" w:cs="宋体"/>
          <w:sz w:val="24"/>
          <w:szCs w:val="24"/>
          <w:highlight w:val="none"/>
        </w:rPr>
        <w:tab/>
      </w:r>
      <w:r>
        <w:rPr>
          <w:rFonts w:hint="eastAsia" w:ascii="宋体" w:hAnsi="宋体" w:cs="宋体"/>
          <w:sz w:val="24"/>
          <w:szCs w:val="24"/>
          <w:highlight w:val="none"/>
        </w:rPr>
        <w:t xml:space="preserve">样品的报送与封存</w:t>
      </w:r>
      <w:r>
        <w:rPr>
          <w:highlight w:val="none"/>
        </w:rPr>
      </w:r>
      <w:r/>
    </w:p>
    <w:p>
      <w:pPr>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需要承包人报送样品的材料或工程设备，样品的种类、名称、规格、数量要求：</w:t>
      </w:r>
      <w:bookmarkStart w:id="555" w:name="EB3854beee115046429c76b6ef4b00a737"/>
      <w:r>
        <w:rPr>
          <w:rFonts w:hint="eastAsia" w:ascii="宋体" w:hAnsi="宋体" w:cs="宋体"/>
          <w:sz w:val="24"/>
          <w:szCs w:val="24"/>
          <w:highlight w:val="none"/>
          <w:u w:val="single"/>
        </w:rPr>
        <w:t xml:space="preserve">执行通用条款</w:t>
      </w:r>
      <w:r>
        <w:rPr>
          <w:highlight w:val="none"/>
        </w:rPr>
      </w:r>
      <w:r/>
    </w:p>
    <w:p>
      <w:pPr>
        <w:jc w:val="left"/>
        <w:spacing w:line="3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注：承包人进场使用的所有材料，必须经过发包人或监理人确认后，方可进场</w:t>
      </w:r>
      <w:bookmarkEnd w:id="555"/>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556" w:name="_Toc32404"/>
      <w:r>
        <w:rPr>
          <w:rFonts w:hint="eastAsia" w:ascii="宋体" w:hAnsi="宋体" w:cs="宋体"/>
          <w:sz w:val="24"/>
          <w:szCs w:val="24"/>
          <w:highlight w:val="none"/>
        </w:rPr>
        <w:t xml:space="preserve">8.8 施工设备和临时设施</w:t>
      </w:r>
      <w:bookmarkEnd w:id="556"/>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8.8.1 承包人提供的施工设备和临时设施</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关于修建临时设施费用承担的约定：</w:t>
      </w:r>
      <w:bookmarkStart w:id="557" w:name="EBcfb53d99705d4ddcbe9cf82eb3f5176f"/>
      <w:r>
        <w:rPr>
          <w:rFonts w:hint="eastAsia" w:ascii="宋体" w:hAnsi="宋体" w:cs="宋体"/>
          <w:sz w:val="24"/>
          <w:szCs w:val="24"/>
          <w:highlight w:val="none"/>
        </w:rPr>
        <w:t xml:space="preserve">执行通用条款</w:t>
      </w:r>
      <w:bookmarkEnd w:id="557"/>
      <w:r>
        <w:rPr>
          <w:rFonts w:hint="eastAsia" w:ascii="宋体" w:hAnsi="宋体" w:cs="宋体"/>
          <w:sz w:val="24"/>
          <w:szCs w:val="24"/>
          <w:highlight w:val="none"/>
        </w:rPr>
        <w:t xml:space="preserve">。</w:t>
      </w:r>
      <w:bookmarkEnd w:id="537"/>
      <w:r>
        <w:rPr>
          <w:highlight w:val="none"/>
        </w:rPr>
      </w:r>
      <w:bookmarkEnd w:id="538"/>
      <w:r>
        <w:rPr>
          <w:highlight w:val="none"/>
        </w:rPr>
      </w:r>
      <w:bookmarkEnd w:id="539"/>
      <w:r>
        <w:rPr>
          <w:highlight w:val="none"/>
        </w:rPr>
      </w:r>
      <w:bookmarkEnd w:id="540"/>
      <w:r>
        <w:rPr>
          <w:highlight w:val="none"/>
        </w:rPr>
      </w:r>
      <w:bookmarkEnd w:id="541"/>
      <w:r>
        <w:rPr>
          <w:highlight w:val="none"/>
        </w:rPr>
      </w:r>
      <w:bookmarkEnd w:id="542"/>
      <w:r>
        <w:rPr>
          <w:highlight w:val="none"/>
        </w:rPr>
      </w:r>
      <w:bookmarkEnd w:id="543"/>
      <w:r>
        <w:rPr>
          <w:highlight w:val="none"/>
        </w:rPr>
      </w:r>
      <w:bookmarkEnd w:id="544"/>
      <w:r>
        <w:rPr>
          <w:highlight w:val="none"/>
        </w:rPr>
      </w:r>
      <w:bookmarkEnd w:id="545"/>
      <w:r>
        <w:rPr>
          <w:highlight w:val="none"/>
        </w:rPr>
      </w:r>
      <w:bookmarkEnd w:id="546"/>
      <w:r>
        <w:rPr>
          <w:highlight w:val="none"/>
        </w:rPr>
      </w:r>
      <w:bookmarkEnd w:id="547"/>
      <w:r>
        <w:rPr>
          <w:highlight w:val="none"/>
        </w:rPr>
      </w:r>
      <w:bookmarkEnd w:id="548"/>
      <w:r>
        <w:rPr>
          <w:highlight w:val="none"/>
        </w:rPr>
      </w:r>
      <w:bookmarkEnd w:id="549"/>
      <w:r>
        <w:rPr>
          <w:highlight w:val="none"/>
        </w:rPr>
      </w:r>
      <w:bookmarkEnd w:id="550"/>
      <w:r>
        <w:rPr>
          <w:highlight w:val="none"/>
        </w:rPr>
      </w:r>
      <w:bookmarkEnd w:id="551"/>
      <w:r>
        <w:rPr>
          <w:highlight w:val="none"/>
        </w:rPr>
      </w:r>
      <w:bookmarkEnd w:id="552"/>
      <w:r>
        <w:rPr>
          <w:highlight w:val="none"/>
        </w:rPr>
      </w:r>
      <w:r/>
    </w:p>
    <w:p>
      <w:pPr>
        <w:spacing w:line="300" w:lineRule="exact"/>
        <w:rPr>
          <w:rFonts w:hint="eastAsia" w:ascii="宋体" w:hAnsi="宋体" w:cs="宋体"/>
          <w:sz w:val="24"/>
          <w:szCs w:val="24"/>
          <w:highlight w:val="none"/>
        </w:rPr>
        <w:outlineLvl w:val="1"/>
      </w:pPr>
      <w:r>
        <w:rPr>
          <w:highlight w:val="none"/>
        </w:rPr>
      </w:r>
      <w:bookmarkStart w:id="558" w:name="_Toc351203641"/>
      <w:r>
        <w:rPr>
          <w:highlight w:val="none"/>
        </w:rPr>
      </w:r>
      <w:bookmarkStart w:id="559" w:name="_Toc23208"/>
      <w:r>
        <w:rPr>
          <w:rFonts w:hint="eastAsia" w:ascii="宋体" w:hAnsi="宋体" w:cs="宋体"/>
          <w:sz w:val="24"/>
          <w:szCs w:val="24"/>
          <w:highlight w:val="none"/>
        </w:rPr>
        <w:t xml:space="preserve">9</w:t>
      </w:r>
      <w:bookmarkEnd w:id="532"/>
      <w:r>
        <w:rPr>
          <w:highlight w:val="none"/>
        </w:rPr>
      </w:r>
      <w:bookmarkEnd w:id="533"/>
      <w:r>
        <w:rPr>
          <w:highlight w:val="none"/>
        </w:rPr>
      </w:r>
      <w:bookmarkEnd w:id="534"/>
      <w:r>
        <w:rPr>
          <w:highlight w:val="none"/>
        </w:rPr>
      </w:r>
      <w:bookmarkStart w:id="560" w:name="_Toc312677495"/>
      <w:r>
        <w:rPr>
          <w:highlight w:val="none"/>
        </w:rPr>
      </w:r>
      <w:bookmarkStart w:id="561" w:name="_Toc304295559"/>
      <w:r>
        <w:rPr>
          <w:highlight w:val="none"/>
        </w:rPr>
      </w:r>
      <w:bookmarkStart w:id="562" w:name="_Toc303539139"/>
      <w:r>
        <w:rPr>
          <w:highlight w:val="none"/>
        </w:rPr>
      </w:r>
      <w:bookmarkStart w:id="563" w:name="_Toc312678021"/>
      <w:r>
        <w:rPr>
          <w:highlight w:val="none"/>
        </w:rPr>
      </w:r>
      <w:bookmarkStart w:id="564" w:name="_Toc297123533"/>
      <w:r>
        <w:rPr>
          <w:highlight w:val="none"/>
        </w:rPr>
      </w:r>
      <w:bookmarkStart w:id="565" w:name="_Toc300934982"/>
      <w:r>
        <w:rPr>
          <w:highlight w:val="none"/>
        </w:rPr>
      </w:r>
      <w:bookmarkStart w:id="566" w:name="_Toc297216192"/>
      <w:r>
        <w:rPr>
          <w:highlight w:val="none"/>
        </w:rPr>
      </w:r>
      <w:bookmarkStart w:id="567" w:name="_Toc292559883"/>
      <w:r>
        <w:rPr>
          <w:highlight w:val="none"/>
        </w:rPr>
      </w:r>
      <w:bookmarkStart w:id="568" w:name="_Toc297120473"/>
      <w:r>
        <w:rPr>
          <w:highlight w:val="none"/>
        </w:rPr>
      </w:r>
      <w:bookmarkStart w:id="569" w:name="_Toc296503173"/>
      <w:r>
        <w:rPr>
          <w:highlight w:val="none"/>
        </w:rPr>
      </w:r>
      <w:bookmarkStart w:id="570" w:name="_Toc267251428"/>
      <w:r>
        <w:rPr>
          <w:highlight w:val="none"/>
        </w:rPr>
      </w:r>
      <w:bookmarkStart w:id="571" w:name="_Toc296891001"/>
      <w:r>
        <w:rPr>
          <w:highlight w:val="none"/>
        </w:rPr>
      </w:r>
      <w:bookmarkStart w:id="572" w:name="_Toc267251427"/>
      <w:r>
        <w:rPr>
          <w:highlight w:val="none"/>
        </w:rPr>
      </w:r>
      <w:bookmarkStart w:id="573" w:name="_Toc296891213"/>
      <w:r>
        <w:rPr>
          <w:highlight w:val="none"/>
        </w:rPr>
      </w:r>
      <w:bookmarkStart w:id="574" w:name="_Toc296346674"/>
      <w:r>
        <w:rPr>
          <w:highlight w:val="none"/>
        </w:rPr>
      </w:r>
      <w:bookmarkStart w:id="575" w:name="_Toc296347172"/>
      <w:r>
        <w:rPr>
          <w:highlight w:val="none"/>
        </w:rPr>
      </w:r>
      <w:bookmarkStart w:id="576" w:name="_Toc292559378"/>
      <w:r>
        <w:rPr>
          <w:highlight w:val="none"/>
        </w:rPr>
      </w:r>
      <w:bookmarkStart w:id="577" w:name="_Toc297048359"/>
      <w:r>
        <w:rPr>
          <w:highlight w:val="none"/>
        </w:rPr>
      </w:r>
      <w:bookmarkStart w:id="578" w:name="_Toc296944512"/>
      <w:r>
        <w:rPr>
          <w:rFonts w:hint="eastAsia" w:ascii="宋体" w:hAnsi="宋体" w:cs="宋体"/>
          <w:sz w:val="24"/>
          <w:szCs w:val="24"/>
          <w:highlight w:val="none"/>
        </w:rPr>
        <w:t xml:space="preserve">. 试验与检验</w:t>
      </w:r>
      <w:bookmarkEnd w:id="558"/>
      <w:r>
        <w:rPr>
          <w:highlight w:val="none"/>
        </w:rPr>
      </w:r>
      <w:bookmarkEnd w:id="559"/>
      <w:r>
        <w:rPr>
          <w:highlight w:val="none"/>
        </w:rPr>
      </w:r>
      <w:bookmarkEnd w:id="560"/>
      <w:r>
        <w:rPr>
          <w:highlight w:val="none"/>
        </w:rPr>
      </w:r>
      <w:bookmarkEnd w:id="561"/>
      <w:r>
        <w:rPr>
          <w:highlight w:val="none"/>
        </w:rPr>
      </w:r>
      <w:bookmarkEnd w:id="562"/>
      <w:r>
        <w:rPr>
          <w:highlight w:val="none"/>
        </w:rPr>
      </w:r>
      <w:bookmarkEnd w:id="563"/>
      <w:r>
        <w:rPr>
          <w:highlight w:val="none"/>
        </w:rPr>
      </w:r>
      <w:bookmarkEnd w:id="564"/>
      <w:r>
        <w:rPr>
          <w:highlight w:val="none"/>
        </w:rPr>
      </w:r>
      <w:bookmarkEnd w:id="565"/>
      <w:r>
        <w:rPr>
          <w:highlight w:val="none"/>
        </w:rPr>
      </w:r>
      <w:bookmarkEnd w:id="566"/>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579" w:name="_Toc31795"/>
      <w:r>
        <w:rPr>
          <w:rFonts w:hint="eastAsia" w:ascii="宋体" w:hAnsi="宋体" w:cs="宋体"/>
          <w:sz w:val="24"/>
          <w:szCs w:val="24"/>
          <w:highlight w:val="none"/>
        </w:rPr>
        <w:t xml:space="preserve">9</w:t>
      </w:r>
      <w:bookmarkStart w:id="580" w:name="_Toc300934983"/>
      <w:r>
        <w:rPr>
          <w:highlight w:val="none"/>
        </w:rPr>
      </w:r>
      <w:bookmarkStart w:id="581" w:name="_Toc312678022"/>
      <w:r>
        <w:rPr>
          <w:highlight w:val="none"/>
        </w:rPr>
      </w:r>
      <w:bookmarkStart w:id="582" w:name="_Toc304295560"/>
      <w:r>
        <w:rPr>
          <w:highlight w:val="none"/>
        </w:rPr>
      </w:r>
      <w:bookmarkStart w:id="583" w:name="_Toc303539140"/>
      <w:r>
        <w:rPr>
          <w:highlight w:val="none"/>
        </w:rPr>
      </w:r>
      <w:bookmarkStart w:id="584" w:name="_Toc297216193"/>
      <w:r>
        <w:rPr>
          <w:highlight w:val="none"/>
        </w:rPr>
      </w:r>
      <w:bookmarkStart w:id="585" w:name="_Toc312677496"/>
      <w:r>
        <w:rPr>
          <w:highlight w:val="none"/>
        </w:rPr>
      </w:r>
      <w:bookmarkStart w:id="586" w:name="_Toc297123534"/>
      <w:r>
        <w:rPr>
          <w:rFonts w:hint="eastAsia" w:ascii="宋体" w:hAnsi="宋体" w:cs="宋体"/>
          <w:sz w:val="24"/>
          <w:szCs w:val="24"/>
          <w:highlight w:val="none"/>
        </w:rPr>
        <w:t xml:space="preserve">.1试验设备与试验人员</w:t>
      </w:r>
      <w:bookmarkEnd w:id="579"/>
      <w:r>
        <w:rPr>
          <w:highlight w:val="none"/>
        </w:rPr>
      </w:r>
      <w:bookmarkEnd w:id="580"/>
      <w:r>
        <w:rPr>
          <w:highlight w:val="none"/>
        </w:rPr>
      </w:r>
      <w:bookmarkEnd w:id="581"/>
      <w:r>
        <w:rPr>
          <w:highlight w:val="none"/>
        </w:rPr>
      </w:r>
      <w:bookmarkEnd w:id="582"/>
      <w:r>
        <w:rPr>
          <w:highlight w:val="none"/>
        </w:rPr>
      </w:r>
      <w:bookmarkEnd w:id="583"/>
      <w:r>
        <w:rPr>
          <w:highlight w:val="none"/>
        </w:rPr>
      </w:r>
      <w:bookmarkEnd w:id="584"/>
      <w:r>
        <w:rPr>
          <w:highlight w:val="none"/>
        </w:rPr>
      </w:r>
      <w:bookmarkEnd w:id="585"/>
      <w:r>
        <w:rPr>
          <w:highlight w:val="none"/>
        </w:rPr>
      </w:r>
      <w:bookmarkEnd w:id="586"/>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9</w:t>
      </w:r>
      <w:bookmarkStart w:id="587" w:name="_Toc303539141"/>
      <w:r>
        <w:rPr>
          <w:highlight w:val="none"/>
        </w:rPr>
      </w:r>
      <w:bookmarkStart w:id="588" w:name="_Toc297216194"/>
      <w:r>
        <w:rPr>
          <w:highlight w:val="none"/>
        </w:rPr>
      </w:r>
      <w:bookmarkStart w:id="589" w:name="_Toc312678023"/>
      <w:r>
        <w:rPr>
          <w:highlight w:val="none"/>
        </w:rPr>
      </w:r>
      <w:bookmarkStart w:id="590" w:name="_Toc300934984"/>
      <w:r>
        <w:rPr>
          <w:highlight w:val="none"/>
        </w:rPr>
      </w:r>
      <w:bookmarkStart w:id="591" w:name="_Toc304295561"/>
      <w:r>
        <w:rPr>
          <w:highlight w:val="none"/>
        </w:rPr>
      </w:r>
      <w:bookmarkStart w:id="592" w:name="_Toc312677497"/>
      <w:r>
        <w:rPr>
          <w:highlight w:val="none"/>
        </w:rPr>
      </w:r>
      <w:bookmarkStart w:id="593" w:name="_Toc297123535"/>
      <w:r>
        <w:rPr>
          <w:highlight w:val="none"/>
        </w:rPr>
      </w:r>
      <w:bookmarkStart w:id="594" w:name="_Toc318581174"/>
      <w:r>
        <w:rPr>
          <w:rFonts w:hint="eastAsia" w:ascii="宋体" w:hAnsi="宋体" w:cs="宋体"/>
          <w:sz w:val="24"/>
          <w:szCs w:val="24"/>
          <w:highlight w:val="none"/>
        </w:rPr>
        <w:t xml:space="preserve">.1.2 试验设备</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施工现场需要配置的试验场所：</w:t>
      </w:r>
      <w:bookmarkEnd w:id="587"/>
      <w:r>
        <w:rPr>
          <w:highlight w:val="none"/>
        </w:rPr>
      </w:r>
      <w:bookmarkEnd w:id="588"/>
      <w:r>
        <w:rPr>
          <w:highlight w:val="none"/>
        </w:rPr>
      </w:r>
      <w:bookmarkEnd w:id="589"/>
      <w:r>
        <w:rPr>
          <w:highlight w:val="none"/>
        </w:rPr>
      </w:r>
      <w:bookmarkEnd w:id="590"/>
      <w:r>
        <w:rPr>
          <w:highlight w:val="none"/>
        </w:rPr>
      </w:r>
      <w:bookmarkEnd w:id="591"/>
      <w:r>
        <w:rPr>
          <w:highlight w:val="none"/>
        </w:rPr>
      </w:r>
      <w:bookmarkEnd w:id="592"/>
      <w:r>
        <w:rPr>
          <w:highlight w:val="none"/>
        </w:rPr>
      </w:r>
      <w:bookmarkEnd w:id="593"/>
      <w:r>
        <w:rPr>
          <w:highlight w:val="none"/>
        </w:rPr>
      </w:r>
      <w:bookmarkStart w:id="595" w:name="_Toc300934985"/>
      <w:r>
        <w:rPr>
          <w:highlight w:val="none"/>
        </w:rPr>
      </w:r>
      <w:bookmarkStart w:id="596" w:name="_Toc312677498"/>
      <w:r>
        <w:rPr>
          <w:highlight w:val="none"/>
        </w:rPr>
      </w:r>
      <w:bookmarkStart w:id="597" w:name="_Toc297216195"/>
      <w:r>
        <w:rPr>
          <w:highlight w:val="none"/>
        </w:rPr>
      </w:r>
      <w:bookmarkStart w:id="598" w:name="_Toc297123536"/>
      <w:r>
        <w:rPr>
          <w:highlight w:val="none"/>
        </w:rPr>
      </w:r>
      <w:bookmarkStart w:id="599" w:name="_Toc312678024"/>
      <w:r>
        <w:rPr>
          <w:highlight w:val="none"/>
        </w:rPr>
      </w:r>
      <w:bookmarkStart w:id="600" w:name="_Toc303539142"/>
      <w:r>
        <w:rPr>
          <w:highlight w:val="none"/>
        </w:rPr>
      </w:r>
      <w:bookmarkStart w:id="601" w:name="_Toc304295562"/>
      <w:r>
        <w:rPr>
          <w:rFonts w:hint="eastAsia" w:ascii="宋体" w:hAnsi="宋体" w:cs="宋体"/>
          <w:sz w:val="24"/>
          <w:szCs w:val="24"/>
          <w:highlight w:val="none"/>
        </w:rPr>
        <w:t xml:space="preserve">执行通用条款。 </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施工现场需要配备的试验设备：执行通用条款。</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施工现场需要具备的其他试验条件：执行通用条款。</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602" w:name="_Toc24368"/>
      <w:r>
        <w:rPr>
          <w:rFonts w:hint="eastAsia" w:ascii="宋体" w:hAnsi="宋体" w:cs="宋体"/>
          <w:sz w:val="24"/>
          <w:szCs w:val="24"/>
          <w:highlight w:val="none"/>
        </w:rPr>
        <w:t xml:space="preserve">9.4 现场工艺试验</w:t>
      </w:r>
      <w:bookmarkEnd w:id="602"/>
      <w:r>
        <w:rPr>
          <w:rFonts w:hint="eastAsia" w:ascii="宋体" w:hAnsi="宋体" w:cs="宋体"/>
          <w:sz w:val="24"/>
          <w:szCs w:val="24"/>
          <w:highlight w:val="none"/>
        </w:rPr>
        <w:t xml:space="preserve"> </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现场工艺试验的有关约定：执行通用条款。</w:t>
      </w:r>
      <w:bookmarkEnd w:id="594"/>
      <w:r>
        <w:rPr>
          <w:highlight w:val="none"/>
        </w:rPr>
      </w:r>
      <w:bookmarkEnd w:id="595"/>
      <w:r>
        <w:rPr>
          <w:highlight w:val="none"/>
        </w:rPr>
      </w:r>
      <w:bookmarkEnd w:id="596"/>
      <w:r>
        <w:rPr>
          <w:highlight w:val="none"/>
        </w:rPr>
      </w:r>
      <w:bookmarkEnd w:id="597"/>
      <w:r>
        <w:rPr>
          <w:highlight w:val="none"/>
        </w:rPr>
      </w:r>
      <w:bookmarkEnd w:id="598"/>
      <w:r>
        <w:rPr>
          <w:highlight w:val="none"/>
        </w:rPr>
      </w:r>
      <w:bookmarkEnd w:id="599"/>
      <w:r>
        <w:rPr>
          <w:highlight w:val="none"/>
        </w:rPr>
      </w:r>
      <w:bookmarkEnd w:id="600"/>
      <w:r>
        <w:rPr>
          <w:highlight w:val="none"/>
        </w:rPr>
      </w:r>
      <w:bookmarkEnd w:id="601"/>
      <w:r>
        <w:rPr>
          <w:highlight w:val="none"/>
        </w:rPr>
      </w:r>
      <w:r/>
    </w:p>
    <w:p>
      <w:pPr>
        <w:spacing w:line="300" w:lineRule="exact"/>
        <w:rPr>
          <w:rFonts w:hint="eastAsia" w:ascii="宋体" w:hAnsi="宋体" w:cs="宋体"/>
          <w:sz w:val="24"/>
          <w:szCs w:val="24"/>
          <w:highlight w:val="none"/>
        </w:rPr>
        <w:outlineLvl w:val="1"/>
      </w:pPr>
      <w:r>
        <w:rPr>
          <w:highlight w:val="none"/>
        </w:rPr>
      </w:r>
      <w:bookmarkStart w:id="603" w:name="_Toc25738"/>
      <w:r>
        <w:rPr>
          <w:highlight w:val="none"/>
        </w:rPr>
      </w:r>
      <w:bookmarkStart w:id="604" w:name="_Toc351203642"/>
      <w:r>
        <w:rPr>
          <w:rFonts w:hint="eastAsia" w:ascii="宋体" w:hAnsi="宋体" w:cs="宋体"/>
          <w:sz w:val="24"/>
          <w:szCs w:val="24"/>
          <w:highlight w:val="none"/>
        </w:rPr>
        <w:t xml:space="preserve">1</w:t>
      </w:r>
      <w:bookmarkEnd w:id="567"/>
      <w:r>
        <w:rPr>
          <w:highlight w:val="none"/>
        </w:rPr>
      </w:r>
      <w:bookmarkEnd w:id="568"/>
      <w:r>
        <w:rPr>
          <w:highlight w:val="none"/>
        </w:rPr>
      </w:r>
      <w:bookmarkEnd w:id="569"/>
      <w:r>
        <w:rPr>
          <w:highlight w:val="none"/>
        </w:rPr>
      </w:r>
      <w:bookmarkEnd w:id="570"/>
      <w:r>
        <w:rPr>
          <w:highlight w:val="none"/>
        </w:rPr>
      </w:r>
      <w:bookmarkEnd w:id="571"/>
      <w:r>
        <w:rPr>
          <w:highlight w:val="none"/>
        </w:rPr>
      </w:r>
      <w:bookmarkEnd w:id="572"/>
      <w:r>
        <w:rPr>
          <w:highlight w:val="none"/>
        </w:rPr>
      </w:r>
      <w:bookmarkEnd w:id="573"/>
      <w:r>
        <w:rPr>
          <w:highlight w:val="none"/>
        </w:rPr>
      </w:r>
      <w:bookmarkEnd w:id="574"/>
      <w:r>
        <w:rPr>
          <w:highlight w:val="none"/>
        </w:rPr>
      </w:r>
      <w:bookmarkEnd w:id="575"/>
      <w:r>
        <w:rPr>
          <w:highlight w:val="none"/>
        </w:rPr>
      </w:r>
      <w:bookmarkEnd w:id="576"/>
      <w:r>
        <w:rPr>
          <w:highlight w:val="none"/>
        </w:rPr>
      </w:r>
      <w:bookmarkEnd w:id="577"/>
      <w:r>
        <w:rPr>
          <w:highlight w:val="none"/>
        </w:rPr>
      </w:r>
      <w:bookmarkEnd w:id="578"/>
      <w:r>
        <w:rPr>
          <w:highlight w:val="none"/>
        </w:rPr>
      </w:r>
      <w:bookmarkStart w:id="605" w:name="_Toc312677499"/>
      <w:r>
        <w:rPr>
          <w:highlight w:val="none"/>
        </w:rPr>
      </w:r>
      <w:bookmarkStart w:id="606" w:name="_Toc300934989"/>
      <w:r>
        <w:rPr>
          <w:highlight w:val="none"/>
        </w:rPr>
      </w:r>
      <w:bookmarkStart w:id="607" w:name="_Toc296891233"/>
      <w:r>
        <w:rPr>
          <w:highlight w:val="none"/>
        </w:rPr>
      </w:r>
      <w:bookmarkStart w:id="608" w:name="_Toc312678025"/>
      <w:r>
        <w:rPr>
          <w:highlight w:val="none"/>
        </w:rPr>
      </w:r>
      <w:bookmarkStart w:id="609" w:name="_Toc296347192"/>
      <w:r>
        <w:rPr>
          <w:highlight w:val="none"/>
        </w:rPr>
      </w:r>
      <w:bookmarkStart w:id="610" w:name="_Toc297048379"/>
      <w:r>
        <w:rPr>
          <w:highlight w:val="none"/>
        </w:rPr>
      </w:r>
      <w:bookmarkStart w:id="611" w:name="_Toc297120493"/>
      <w:r>
        <w:rPr>
          <w:highlight w:val="none"/>
        </w:rPr>
      </w:r>
      <w:bookmarkStart w:id="612" w:name="_Toc296346694"/>
      <w:r>
        <w:rPr>
          <w:highlight w:val="none"/>
        </w:rPr>
      </w:r>
      <w:bookmarkStart w:id="613" w:name="_Toc297123540"/>
      <w:r>
        <w:rPr>
          <w:highlight w:val="none"/>
        </w:rPr>
      </w:r>
      <w:bookmarkStart w:id="614" w:name="_Toc296503193"/>
      <w:r>
        <w:rPr>
          <w:highlight w:val="none"/>
        </w:rPr>
      </w:r>
      <w:bookmarkStart w:id="615" w:name="_Toc296944532"/>
      <w:r>
        <w:rPr>
          <w:highlight w:val="none"/>
        </w:rPr>
      </w:r>
      <w:bookmarkStart w:id="616" w:name="_Toc292559398"/>
      <w:r>
        <w:rPr>
          <w:highlight w:val="none"/>
        </w:rPr>
      </w:r>
      <w:bookmarkStart w:id="617" w:name="_Toc296891021"/>
      <w:r>
        <w:rPr>
          <w:highlight w:val="none"/>
        </w:rPr>
      </w:r>
      <w:bookmarkStart w:id="618" w:name="_Toc304295566"/>
      <w:r>
        <w:rPr>
          <w:highlight w:val="none"/>
        </w:rPr>
      </w:r>
      <w:bookmarkStart w:id="619" w:name="_Toc292559903"/>
      <w:r>
        <w:rPr>
          <w:highlight w:val="none"/>
        </w:rPr>
      </w:r>
      <w:bookmarkStart w:id="620" w:name="_Toc303539146"/>
      <w:r>
        <w:rPr>
          <w:highlight w:val="none"/>
        </w:rPr>
      </w:r>
      <w:bookmarkStart w:id="621" w:name="_Toc297216199"/>
      <w:r>
        <w:rPr>
          <w:highlight w:val="none"/>
        </w:rPr>
      </w:r>
      <w:bookmarkStart w:id="622" w:name="_Toc267251433"/>
      <w:r>
        <w:rPr>
          <w:highlight w:val="none"/>
        </w:rPr>
      </w:r>
      <w:bookmarkStart w:id="623" w:name="_Toc267251439"/>
      <w:r>
        <w:rPr>
          <w:highlight w:val="none"/>
        </w:rPr>
      </w:r>
      <w:bookmarkStart w:id="624" w:name="_Toc267251441"/>
      <w:r>
        <w:rPr>
          <w:highlight w:val="none"/>
        </w:rPr>
      </w:r>
      <w:bookmarkStart w:id="625" w:name="_Toc267251440"/>
      <w:r>
        <w:rPr>
          <w:highlight w:val="none"/>
        </w:rPr>
      </w:r>
      <w:bookmarkStart w:id="626" w:name="_Toc267251437"/>
      <w:r>
        <w:rPr>
          <w:highlight w:val="none"/>
        </w:rPr>
      </w:r>
      <w:bookmarkStart w:id="627" w:name="_Toc267251435"/>
      <w:r>
        <w:rPr>
          <w:rFonts w:hint="eastAsia" w:ascii="宋体" w:hAnsi="宋体" w:cs="宋体"/>
          <w:sz w:val="24"/>
          <w:szCs w:val="24"/>
          <w:highlight w:val="none"/>
        </w:rPr>
        <w:t xml:space="preserve">0. 变更</w:t>
      </w:r>
      <w:bookmarkEnd w:id="603"/>
      <w:r>
        <w:rPr>
          <w:highlight w:val="none"/>
        </w:rPr>
      </w:r>
      <w:bookmarkEnd w:id="604"/>
      <w:r>
        <w:rPr>
          <w:highlight w:val="none"/>
        </w:rPr>
      </w:r>
      <w:bookmarkEnd w:id="605"/>
      <w:r>
        <w:rPr>
          <w:highlight w:val="none"/>
        </w:rPr>
      </w:r>
      <w:bookmarkEnd w:id="606"/>
      <w:r>
        <w:rPr>
          <w:highlight w:val="none"/>
        </w:rPr>
      </w:r>
      <w:bookmarkEnd w:id="607"/>
      <w:r>
        <w:rPr>
          <w:highlight w:val="none"/>
        </w:rPr>
      </w:r>
      <w:bookmarkEnd w:id="608"/>
      <w:r>
        <w:rPr>
          <w:highlight w:val="none"/>
        </w:rPr>
      </w:r>
      <w:bookmarkEnd w:id="609"/>
      <w:r>
        <w:rPr>
          <w:highlight w:val="none"/>
        </w:rPr>
      </w:r>
      <w:bookmarkEnd w:id="610"/>
      <w:r>
        <w:rPr>
          <w:highlight w:val="none"/>
        </w:rPr>
      </w:r>
      <w:bookmarkEnd w:id="611"/>
      <w:r>
        <w:rPr>
          <w:highlight w:val="none"/>
        </w:rPr>
      </w:r>
      <w:bookmarkEnd w:id="612"/>
      <w:r>
        <w:rPr>
          <w:highlight w:val="none"/>
        </w:rPr>
      </w:r>
      <w:bookmarkEnd w:id="613"/>
      <w:r>
        <w:rPr>
          <w:highlight w:val="none"/>
        </w:rPr>
      </w:r>
      <w:bookmarkEnd w:id="614"/>
      <w:r>
        <w:rPr>
          <w:highlight w:val="none"/>
        </w:rPr>
      </w:r>
      <w:bookmarkEnd w:id="615"/>
      <w:r>
        <w:rPr>
          <w:highlight w:val="none"/>
        </w:rPr>
      </w:r>
      <w:bookmarkEnd w:id="616"/>
      <w:r>
        <w:rPr>
          <w:highlight w:val="none"/>
        </w:rPr>
      </w:r>
      <w:bookmarkEnd w:id="617"/>
      <w:r>
        <w:rPr>
          <w:highlight w:val="none"/>
        </w:rPr>
      </w:r>
      <w:bookmarkEnd w:id="618"/>
      <w:r>
        <w:rPr>
          <w:highlight w:val="none"/>
        </w:rPr>
      </w:r>
      <w:bookmarkEnd w:id="619"/>
      <w:r>
        <w:rPr>
          <w:highlight w:val="none"/>
        </w:rPr>
      </w:r>
      <w:bookmarkEnd w:id="620"/>
      <w:r>
        <w:rPr>
          <w:highlight w:val="none"/>
        </w:rPr>
      </w:r>
      <w:bookmarkEnd w:id="621"/>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628" w:name="_Toc31225"/>
      <w:r>
        <w:rPr>
          <w:rFonts w:hint="eastAsia" w:ascii="宋体" w:hAnsi="宋体" w:cs="宋体"/>
          <w:sz w:val="24"/>
          <w:szCs w:val="24"/>
          <w:highlight w:val="none"/>
        </w:rPr>
        <w:t xml:space="preserve">1</w:t>
      </w:r>
      <w:bookmarkStart w:id="629" w:name="_Toc292559904"/>
      <w:r>
        <w:rPr>
          <w:highlight w:val="none"/>
        </w:rPr>
      </w:r>
      <w:bookmarkStart w:id="630" w:name="_Toc296346695"/>
      <w:r>
        <w:rPr>
          <w:highlight w:val="none"/>
        </w:rPr>
      </w:r>
      <w:bookmarkStart w:id="631" w:name="_Toc303539147"/>
      <w:r>
        <w:rPr>
          <w:highlight w:val="none"/>
        </w:rPr>
      </w:r>
      <w:bookmarkStart w:id="632" w:name="_Toc296891234"/>
      <w:r>
        <w:rPr>
          <w:highlight w:val="none"/>
        </w:rPr>
      </w:r>
      <w:bookmarkStart w:id="633" w:name="_Toc297123541"/>
      <w:r>
        <w:rPr>
          <w:highlight w:val="none"/>
        </w:rPr>
      </w:r>
      <w:bookmarkStart w:id="634" w:name="_Toc292559399"/>
      <w:r>
        <w:rPr>
          <w:highlight w:val="none"/>
        </w:rPr>
      </w:r>
      <w:bookmarkStart w:id="635" w:name="_Toc297048380"/>
      <w:r>
        <w:rPr>
          <w:highlight w:val="none"/>
        </w:rPr>
      </w:r>
      <w:bookmarkStart w:id="636" w:name="_Toc297216200"/>
      <w:r>
        <w:rPr>
          <w:highlight w:val="none"/>
        </w:rPr>
      </w:r>
      <w:bookmarkStart w:id="637" w:name="_Toc296944533"/>
      <w:r>
        <w:rPr>
          <w:highlight w:val="none"/>
        </w:rPr>
      </w:r>
      <w:bookmarkStart w:id="638" w:name="_Toc312677500"/>
      <w:r>
        <w:rPr>
          <w:highlight w:val="none"/>
        </w:rPr>
      </w:r>
      <w:bookmarkStart w:id="639" w:name="_Toc296891022"/>
      <w:r>
        <w:rPr>
          <w:highlight w:val="none"/>
        </w:rPr>
      </w:r>
      <w:bookmarkStart w:id="640" w:name="_Toc304295567"/>
      <w:r>
        <w:rPr>
          <w:highlight w:val="none"/>
        </w:rPr>
      </w:r>
      <w:bookmarkStart w:id="641" w:name="_Toc297120494"/>
      <w:r>
        <w:rPr>
          <w:highlight w:val="none"/>
        </w:rPr>
      </w:r>
      <w:bookmarkStart w:id="642" w:name="_Toc300934990"/>
      <w:r>
        <w:rPr>
          <w:highlight w:val="none"/>
        </w:rPr>
      </w:r>
      <w:bookmarkStart w:id="643" w:name="_Toc296503194"/>
      <w:r>
        <w:rPr>
          <w:highlight w:val="none"/>
        </w:rPr>
      </w:r>
      <w:bookmarkStart w:id="644" w:name="_Toc296347193"/>
      <w:r>
        <w:rPr>
          <w:highlight w:val="none"/>
        </w:rPr>
      </w:r>
      <w:bookmarkStart w:id="645" w:name="_Toc312678026"/>
      <w:r>
        <w:rPr>
          <w:rFonts w:hint="eastAsia" w:ascii="宋体" w:hAnsi="宋体" w:cs="宋体"/>
          <w:sz w:val="24"/>
          <w:szCs w:val="24"/>
          <w:highlight w:val="none"/>
        </w:rPr>
        <w:t xml:space="preserve">0.1变更的范围</w:t>
      </w:r>
      <w:bookmarkEnd w:id="628"/>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关于变更的范围的约定：</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646" w:name="_Toc30695"/>
      <w:r>
        <w:rPr>
          <w:rFonts w:hint="eastAsia" w:ascii="宋体" w:hAnsi="宋体" w:cs="宋体"/>
          <w:sz w:val="24"/>
          <w:szCs w:val="24"/>
          <w:highlight w:val="none"/>
        </w:rPr>
        <w:t xml:space="preserve">10.4 变更估价</w:t>
      </w:r>
      <w:bookmarkEnd w:id="646"/>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10.4.1 变更估价原则</w:t>
      </w:r>
      <w:r>
        <w:rPr>
          <w:highlight w:val="none"/>
        </w:rPr>
      </w:r>
      <w:r/>
    </w:p>
    <w:p>
      <w:pPr>
        <w:jc w:val="left"/>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关于变更估价的约定: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647" w:name="_Toc30553"/>
      <w:r>
        <w:rPr>
          <w:rFonts w:hint="eastAsia" w:ascii="宋体" w:hAnsi="宋体" w:cs="宋体"/>
          <w:sz w:val="24"/>
          <w:szCs w:val="24"/>
          <w:highlight w:val="none"/>
        </w:rPr>
        <w:t xml:space="preserve">1</w:t>
      </w:r>
      <w:bookmarkEnd w:id="629"/>
      <w:r>
        <w:rPr>
          <w:highlight w:val="none"/>
        </w:rPr>
      </w:r>
      <w:bookmarkEnd w:id="630"/>
      <w:r>
        <w:rPr>
          <w:highlight w:val="none"/>
        </w:rPr>
      </w:r>
      <w:bookmarkEnd w:id="631"/>
      <w:r>
        <w:rPr>
          <w:highlight w:val="none"/>
        </w:rPr>
      </w:r>
      <w:bookmarkEnd w:id="632"/>
      <w:r>
        <w:rPr>
          <w:highlight w:val="none"/>
        </w:rPr>
      </w:r>
      <w:bookmarkEnd w:id="633"/>
      <w:r>
        <w:rPr>
          <w:highlight w:val="none"/>
        </w:rPr>
      </w:r>
      <w:bookmarkEnd w:id="634"/>
      <w:r>
        <w:rPr>
          <w:highlight w:val="none"/>
        </w:rPr>
      </w:r>
      <w:bookmarkEnd w:id="635"/>
      <w:r>
        <w:rPr>
          <w:highlight w:val="none"/>
        </w:rPr>
      </w:r>
      <w:bookmarkEnd w:id="636"/>
      <w:r>
        <w:rPr>
          <w:highlight w:val="none"/>
        </w:rPr>
      </w:r>
      <w:bookmarkEnd w:id="637"/>
      <w:r>
        <w:rPr>
          <w:highlight w:val="none"/>
        </w:rPr>
      </w:r>
      <w:bookmarkEnd w:id="638"/>
      <w:r>
        <w:rPr>
          <w:highlight w:val="none"/>
        </w:rPr>
      </w:r>
      <w:bookmarkEnd w:id="639"/>
      <w:r>
        <w:rPr>
          <w:highlight w:val="none"/>
        </w:rPr>
      </w:r>
      <w:bookmarkEnd w:id="640"/>
      <w:r>
        <w:rPr>
          <w:highlight w:val="none"/>
        </w:rPr>
      </w:r>
      <w:bookmarkEnd w:id="641"/>
      <w:r>
        <w:rPr>
          <w:highlight w:val="none"/>
        </w:rPr>
      </w:r>
      <w:bookmarkEnd w:id="642"/>
      <w:r>
        <w:rPr>
          <w:highlight w:val="none"/>
        </w:rPr>
      </w:r>
      <w:bookmarkEnd w:id="643"/>
      <w:r>
        <w:rPr>
          <w:highlight w:val="none"/>
        </w:rPr>
      </w:r>
      <w:bookmarkEnd w:id="644"/>
      <w:r>
        <w:rPr>
          <w:highlight w:val="none"/>
        </w:rPr>
      </w:r>
      <w:bookmarkEnd w:id="645"/>
      <w:r>
        <w:rPr>
          <w:highlight w:val="none"/>
        </w:rPr>
      </w:r>
      <w:bookmarkStart w:id="648" w:name="_Toc296944536"/>
      <w:r>
        <w:rPr>
          <w:highlight w:val="none"/>
        </w:rPr>
      </w:r>
      <w:bookmarkStart w:id="649" w:name="_Toc296346698"/>
      <w:r>
        <w:rPr>
          <w:highlight w:val="none"/>
        </w:rPr>
      </w:r>
      <w:bookmarkStart w:id="650" w:name="_Toc296503197"/>
      <w:r>
        <w:rPr>
          <w:highlight w:val="none"/>
        </w:rPr>
      </w:r>
      <w:bookmarkStart w:id="651" w:name="_Toc300934993"/>
      <w:r>
        <w:rPr>
          <w:highlight w:val="none"/>
        </w:rPr>
      </w:r>
      <w:bookmarkStart w:id="652" w:name="_Toc297048383"/>
      <w:r>
        <w:rPr>
          <w:highlight w:val="none"/>
        </w:rPr>
      </w:r>
      <w:bookmarkStart w:id="653" w:name="_Toc297123544"/>
      <w:r>
        <w:rPr>
          <w:highlight w:val="none"/>
        </w:rPr>
      </w:r>
      <w:bookmarkStart w:id="654" w:name="_Toc296347196"/>
      <w:r>
        <w:rPr>
          <w:highlight w:val="none"/>
        </w:rPr>
      </w:r>
      <w:bookmarkStart w:id="655" w:name="_Toc297120497"/>
      <w:r>
        <w:rPr>
          <w:highlight w:val="none"/>
        </w:rPr>
      </w:r>
      <w:bookmarkStart w:id="656" w:name="_Toc297216203"/>
      <w:r>
        <w:rPr>
          <w:highlight w:val="none"/>
        </w:rPr>
      </w:r>
      <w:bookmarkStart w:id="657" w:name="_Toc296891025"/>
      <w:r>
        <w:rPr>
          <w:highlight w:val="none"/>
        </w:rPr>
      </w:r>
      <w:bookmarkStart w:id="658" w:name="_Toc303539150"/>
      <w:r>
        <w:rPr>
          <w:highlight w:val="none"/>
        </w:rPr>
      </w:r>
      <w:bookmarkStart w:id="659" w:name="_Toc292559907"/>
      <w:r>
        <w:rPr>
          <w:highlight w:val="none"/>
        </w:rPr>
      </w:r>
      <w:bookmarkStart w:id="660" w:name="_Toc292559402"/>
      <w:r>
        <w:rPr>
          <w:highlight w:val="none"/>
        </w:rPr>
      </w:r>
      <w:bookmarkStart w:id="661" w:name="_Toc296891237"/>
      <w:r>
        <w:rPr>
          <w:highlight w:val="none"/>
        </w:rPr>
      </w:r>
      <w:bookmarkStart w:id="662" w:name="_Toc312677503"/>
      <w:r>
        <w:rPr>
          <w:highlight w:val="none"/>
        </w:rPr>
      </w:r>
      <w:bookmarkStart w:id="663" w:name="_Toc304295570"/>
      <w:r>
        <w:rPr>
          <w:highlight w:val="none"/>
        </w:rPr>
      </w:r>
      <w:bookmarkStart w:id="664" w:name="_Toc312678029"/>
      <w:r>
        <w:rPr>
          <w:rFonts w:hint="eastAsia" w:ascii="宋体" w:hAnsi="宋体" w:cs="宋体"/>
          <w:sz w:val="24"/>
          <w:szCs w:val="24"/>
          <w:highlight w:val="none"/>
        </w:rPr>
        <w:t xml:space="preserve">0.5承</w:t>
      </w:r>
      <w:bookmarkEnd w:id="648"/>
      <w:r>
        <w:rPr>
          <w:highlight w:val="none"/>
        </w:rPr>
      </w:r>
      <w:bookmarkEnd w:id="649"/>
      <w:r>
        <w:rPr>
          <w:highlight w:val="none"/>
        </w:rPr>
      </w:r>
      <w:bookmarkEnd w:id="650"/>
      <w:r>
        <w:rPr>
          <w:highlight w:val="none"/>
        </w:rPr>
      </w:r>
      <w:bookmarkEnd w:id="651"/>
      <w:r>
        <w:rPr>
          <w:highlight w:val="none"/>
        </w:rPr>
      </w:r>
      <w:bookmarkEnd w:id="652"/>
      <w:r>
        <w:rPr>
          <w:highlight w:val="none"/>
        </w:rPr>
      </w:r>
      <w:bookmarkEnd w:id="653"/>
      <w:r>
        <w:rPr>
          <w:highlight w:val="none"/>
        </w:rPr>
      </w:r>
      <w:bookmarkEnd w:id="654"/>
      <w:r>
        <w:rPr>
          <w:highlight w:val="none"/>
        </w:rPr>
      </w:r>
      <w:bookmarkEnd w:id="655"/>
      <w:r>
        <w:rPr>
          <w:highlight w:val="none"/>
        </w:rPr>
      </w:r>
      <w:bookmarkEnd w:id="656"/>
      <w:r>
        <w:rPr>
          <w:highlight w:val="none"/>
        </w:rPr>
      </w:r>
      <w:bookmarkEnd w:id="657"/>
      <w:r>
        <w:rPr>
          <w:highlight w:val="none"/>
        </w:rPr>
      </w:r>
      <w:bookmarkEnd w:id="658"/>
      <w:r>
        <w:rPr>
          <w:highlight w:val="none"/>
        </w:rPr>
      </w:r>
      <w:bookmarkEnd w:id="659"/>
      <w:r>
        <w:rPr>
          <w:highlight w:val="none"/>
        </w:rPr>
      </w:r>
      <w:bookmarkEnd w:id="660"/>
      <w:r>
        <w:rPr>
          <w:highlight w:val="none"/>
        </w:rPr>
      </w:r>
      <w:bookmarkEnd w:id="661"/>
      <w:r>
        <w:rPr>
          <w:highlight w:val="none"/>
        </w:rPr>
      </w:r>
      <w:bookmarkStart w:id="665" w:name="_Toc296891243"/>
      <w:r>
        <w:rPr>
          <w:highlight w:val="none"/>
        </w:rPr>
      </w:r>
      <w:bookmarkStart w:id="666" w:name="_Toc296346704"/>
      <w:r>
        <w:rPr>
          <w:highlight w:val="none"/>
        </w:rPr>
      </w:r>
      <w:bookmarkStart w:id="667" w:name="_Toc296891031"/>
      <w:r>
        <w:rPr>
          <w:highlight w:val="none"/>
        </w:rPr>
      </w:r>
      <w:bookmarkStart w:id="668" w:name="_Toc300934994"/>
      <w:r>
        <w:rPr>
          <w:highlight w:val="none"/>
        </w:rPr>
      </w:r>
      <w:bookmarkStart w:id="669" w:name="_Toc296347202"/>
      <w:r>
        <w:rPr>
          <w:highlight w:val="none"/>
        </w:rPr>
      </w:r>
      <w:bookmarkStart w:id="670" w:name="_Toc292559913"/>
      <w:r>
        <w:rPr>
          <w:highlight w:val="none"/>
        </w:rPr>
      </w:r>
      <w:bookmarkStart w:id="671" w:name="_Toc297048389"/>
      <w:r>
        <w:rPr>
          <w:highlight w:val="none"/>
        </w:rPr>
      </w:r>
      <w:bookmarkStart w:id="672" w:name="_Toc296944542"/>
      <w:r>
        <w:rPr>
          <w:highlight w:val="none"/>
        </w:rPr>
      </w:r>
      <w:bookmarkStart w:id="673" w:name="_Toc296503203"/>
      <w:r>
        <w:rPr>
          <w:highlight w:val="none"/>
        </w:rPr>
      </w:r>
      <w:bookmarkStart w:id="674" w:name="_Toc297123545"/>
      <w:r>
        <w:rPr>
          <w:highlight w:val="none"/>
        </w:rPr>
      </w:r>
      <w:bookmarkStart w:id="675" w:name="_Toc297216204"/>
      <w:r>
        <w:rPr>
          <w:highlight w:val="none"/>
        </w:rPr>
      </w:r>
      <w:bookmarkStart w:id="676" w:name="_Toc297120503"/>
      <w:r>
        <w:rPr>
          <w:highlight w:val="none"/>
        </w:rPr>
      </w:r>
      <w:bookmarkStart w:id="677" w:name="_Toc303539151"/>
      <w:r>
        <w:rPr>
          <w:highlight w:val="none"/>
        </w:rPr>
      </w:r>
      <w:bookmarkStart w:id="678" w:name="_Toc292559408"/>
      <w:r>
        <w:rPr>
          <w:rFonts w:hint="eastAsia" w:ascii="宋体" w:hAnsi="宋体" w:cs="宋体"/>
          <w:sz w:val="24"/>
          <w:szCs w:val="24"/>
          <w:highlight w:val="none"/>
        </w:rPr>
        <w:t xml:space="preserve">包人的合理化建议</w:t>
      </w:r>
      <w:bookmarkEnd w:id="647"/>
      <w:r>
        <w:rPr>
          <w:highlight w:val="none"/>
        </w:rPr>
      </w:r>
      <w:bookmarkEnd w:id="662"/>
      <w:r>
        <w:rPr>
          <w:highlight w:val="none"/>
        </w:rPr>
      </w:r>
      <w:bookmarkEnd w:id="663"/>
      <w:r>
        <w:rPr>
          <w:highlight w:val="none"/>
        </w:rPr>
      </w:r>
      <w:bookmarkEnd w:id="664"/>
      <w:r>
        <w:rPr>
          <w:highlight w:val="none"/>
        </w:rPr>
      </w:r>
      <w:bookmarkEnd w:id="665"/>
      <w:r>
        <w:rPr>
          <w:highlight w:val="none"/>
        </w:rPr>
      </w:r>
      <w:bookmarkEnd w:id="666"/>
      <w:r>
        <w:rPr>
          <w:highlight w:val="none"/>
        </w:rPr>
      </w:r>
      <w:bookmarkEnd w:id="667"/>
      <w:r>
        <w:rPr>
          <w:highlight w:val="none"/>
        </w:rPr>
      </w:r>
      <w:bookmarkEnd w:id="668"/>
      <w:r>
        <w:rPr>
          <w:highlight w:val="none"/>
        </w:rPr>
      </w:r>
      <w:bookmarkEnd w:id="669"/>
      <w:r>
        <w:rPr>
          <w:highlight w:val="none"/>
        </w:rPr>
      </w:r>
      <w:bookmarkEnd w:id="670"/>
      <w:r>
        <w:rPr>
          <w:highlight w:val="none"/>
        </w:rPr>
      </w:r>
      <w:bookmarkEnd w:id="671"/>
      <w:r>
        <w:rPr>
          <w:highlight w:val="none"/>
        </w:rPr>
      </w:r>
      <w:bookmarkEnd w:id="672"/>
      <w:r>
        <w:rPr>
          <w:highlight w:val="none"/>
        </w:rPr>
      </w:r>
      <w:bookmarkEnd w:id="673"/>
      <w:r>
        <w:rPr>
          <w:highlight w:val="none"/>
        </w:rPr>
      </w:r>
      <w:bookmarkEnd w:id="674"/>
      <w:r>
        <w:rPr>
          <w:highlight w:val="none"/>
        </w:rPr>
      </w:r>
      <w:bookmarkEnd w:id="675"/>
      <w:r>
        <w:rPr>
          <w:highlight w:val="none"/>
        </w:rPr>
      </w:r>
      <w:bookmarkEnd w:id="676"/>
      <w:r>
        <w:rPr>
          <w:highlight w:val="none"/>
        </w:rPr>
      </w:r>
      <w:bookmarkEnd w:id="677"/>
      <w:r>
        <w:rPr>
          <w:highlight w:val="none"/>
        </w:rPr>
      </w:r>
      <w:bookmarkEnd w:id="678"/>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监理人审查承包人合理化建议的期限：执行通用条款</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发包人审批承包人合理化建议的期限：</w:t>
      </w:r>
      <w:bookmarkStart w:id="679" w:name="EB866c08ca4711411ebb74247200b4e575"/>
      <w:r>
        <w:rPr>
          <w:rFonts w:hint="eastAsia" w:ascii="宋体" w:hAnsi="宋体" w:cs="宋体"/>
          <w:sz w:val="24"/>
          <w:szCs w:val="24"/>
          <w:highlight w:val="none"/>
          <w:u w:val="single"/>
        </w:rPr>
        <w:t xml:space="preserve">收到承包人提交的合理化建议后 7 天内</w:t>
      </w:r>
      <w:bookmarkEnd w:id="679"/>
      <w:r>
        <w:rPr>
          <w:rFonts w:hint="eastAsia" w:ascii="宋体" w:hAnsi="宋体" w:cs="宋体"/>
          <w:sz w:val="24"/>
          <w:szCs w:val="24"/>
          <w:highlight w:val="none"/>
          <w:u w:val="single"/>
        </w:rPr>
        <w:t xml:space="preserve"> 。</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w:t>
      </w:r>
      <w:bookmarkStart w:id="680" w:name="_Toc297120504"/>
      <w:r>
        <w:rPr>
          <w:highlight w:val="none"/>
        </w:rPr>
      </w:r>
      <w:bookmarkStart w:id="681" w:name="_Toc296503204"/>
      <w:r>
        <w:rPr>
          <w:highlight w:val="none"/>
        </w:rPr>
      </w:r>
      <w:bookmarkStart w:id="682" w:name="_Toc312678030"/>
      <w:r>
        <w:rPr>
          <w:highlight w:val="none"/>
        </w:rPr>
      </w:r>
      <w:bookmarkStart w:id="683" w:name="_Toc297123546"/>
      <w:r>
        <w:rPr>
          <w:highlight w:val="none"/>
        </w:rPr>
      </w:r>
      <w:bookmarkStart w:id="684" w:name="_Toc296347203"/>
      <w:r>
        <w:rPr>
          <w:highlight w:val="none"/>
        </w:rPr>
      </w:r>
      <w:bookmarkStart w:id="685" w:name="_Toc300934995"/>
      <w:r>
        <w:rPr>
          <w:highlight w:val="none"/>
        </w:rPr>
      </w:r>
      <w:bookmarkStart w:id="686" w:name="_Toc296891244"/>
      <w:r>
        <w:rPr>
          <w:highlight w:val="none"/>
        </w:rPr>
      </w:r>
      <w:bookmarkStart w:id="687" w:name="_Toc303539152"/>
      <w:r>
        <w:rPr>
          <w:highlight w:val="none"/>
        </w:rPr>
      </w:r>
      <w:bookmarkStart w:id="688" w:name="_Toc296944543"/>
      <w:r>
        <w:rPr>
          <w:highlight w:val="none"/>
        </w:rPr>
      </w:r>
      <w:bookmarkStart w:id="689" w:name="_Toc297216205"/>
      <w:r>
        <w:rPr>
          <w:highlight w:val="none"/>
        </w:rPr>
      </w:r>
      <w:bookmarkStart w:id="690" w:name="_Toc292559409"/>
      <w:r>
        <w:rPr>
          <w:highlight w:val="none"/>
        </w:rPr>
      </w:r>
      <w:bookmarkStart w:id="691" w:name="_Toc296346705"/>
      <w:r>
        <w:rPr>
          <w:highlight w:val="none"/>
        </w:rPr>
      </w:r>
      <w:bookmarkStart w:id="692" w:name="_Toc292559914"/>
      <w:r>
        <w:rPr>
          <w:highlight w:val="none"/>
        </w:rPr>
      </w:r>
      <w:bookmarkStart w:id="693" w:name="_Toc318581175"/>
      <w:r>
        <w:rPr>
          <w:highlight w:val="none"/>
        </w:rPr>
      </w:r>
      <w:bookmarkStart w:id="694" w:name="_Toc296891032"/>
      <w:r>
        <w:rPr>
          <w:highlight w:val="none"/>
        </w:rPr>
      </w:r>
      <w:bookmarkStart w:id="695" w:name="_Toc312677504"/>
      <w:r>
        <w:rPr>
          <w:highlight w:val="none"/>
        </w:rPr>
      </w:r>
      <w:bookmarkStart w:id="696" w:name="_Toc297048390"/>
      <w:r>
        <w:rPr>
          <w:highlight w:val="none"/>
        </w:rPr>
      </w:r>
      <w:bookmarkStart w:id="697" w:name="_Toc304295571"/>
      <w:r>
        <w:rPr>
          <w:rFonts w:hint="eastAsia" w:ascii="宋体" w:hAnsi="宋体" w:cs="宋体"/>
          <w:sz w:val="24"/>
          <w:szCs w:val="24"/>
          <w:highlight w:val="none"/>
        </w:rPr>
        <w:t xml:space="preserve">包人提出的合理化建议降低了合同价格或者提高了工程经济效益的奖励的方法和金额为： </w:t>
      </w:r>
      <w:bookmarkStart w:id="698" w:name="EBcad785867e8348b496d2c124389ca6aa"/>
      <w:r>
        <w:rPr>
          <w:rFonts w:hint="eastAsia" w:ascii="宋体" w:hAnsi="宋体" w:cs="宋体"/>
          <w:sz w:val="24"/>
          <w:szCs w:val="24"/>
          <w:highlight w:val="none"/>
        </w:rPr>
        <w:t xml:space="preserve">收到监理人报送的合理化建议后 7 天内审批完毕</w:t>
      </w:r>
      <w:bookmarkEnd w:id="698"/>
      <w:r>
        <w:rPr>
          <w:rFonts w:hint="eastAsia" w:ascii="宋体" w:hAnsi="宋体" w:cs="宋体"/>
          <w:sz w:val="24"/>
          <w:szCs w:val="24"/>
          <w:highlight w:val="none"/>
        </w:rPr>
        <w:t xml:space="preserve">。</w:t>
      </w:r>
      <w:bookmarkEnd w:id="680"/>
      <w:r>
        <w:rPr>
          <w:highlight w:val="none"/>
        </w:rPr>
      </w:r>
      <w:bookmarkEnd w:id="681"/>
      <w:r>
        <w:rPr>
          <w:highlight w:val="none"/>
        </w:rPr>
      </w:r>
      <w:bookmarkEnd w:id="682"/>
      <w:r>
        <w:rPr>
          <w:highlight w:val="none"/>
        </w:rPr>
      </w:r>
      <w:bookmarkEnd w:id="683"/>
      <w:r>
        <w:rPr>
          <w:highlight w:val="none"/>
        </w:rPr>
      </w:r>
      <w:bookmarkEnd w:id="684"/>
      <w:r>
        <w:rPr>
          <w:highlight w:val="none"/>
        </w:rPr>
      </w:r>
      <w:bookmarkEnd w:id="685"/>
      <w:r>
        <w:rPr>
          <w:highlight w:val="none"/>
        </w:rPr>
      </w:r>
      <w:bookmarkEnd w:id="686"/>
      <w:r>
        <w:rPr>
          <w:highlight w:val="none"/>
        </w:rPr>
      </w:r>
      <w:bookmarkEnd w:id="687"/>
      <w:r>
        <w:rPr>
          <w:highlight w:val="none"/>
        </w:rPr>
      </w:r>
      <w:bookmarkEnd w:id="688"/>
      <w:r>
        <w:rPr>
          <w:highlight w:val="none"/>
        </w:rPr>
      </w:r>
      <w:bookmarkEnd w:id="689"/>
      <w:r>
        <w:rPr>
          <w:highlight w:val="none"/>
        </w:rPr>
      </w:r>
      <w:bookmarkEnd w:id="690"/>
      <w:r>
        <w:rPr>
          <w:highlight w:val="none"/>
        </w:rPr>
      </w:r>
      <w:bookmarkEnd w:id="691"/>
      <w:r>
        <w:rPr>
          <w:highlight w:val="none"/>
        </w:rPr>
      </w:r>
      <w:bookmarkEnd w:id="692"/>
      <w:r>
        <w:rPr>
          <w:highlight w:val="none"/>
        </w:rPr>
      </w:r>
      <w:bookmarkEnd w:id="693"/>
      <w:r>
        <w:rPr>
          <w:highlight w:val="none"/>
        </w:rPr>
      </w:r>
      <w:bookmarkEnd w:id="694"/>
      <w:r>
        <w:rPr>
          <w:highlight w:val="none"/>
        </w:rPr>
      </w:r>
      <w:bookmarkEnd w:id="695"/>
      <w:r>
        <w:rPr>
          <w:highlight w:val="none"/>
        </w:rPr>
      </w:r>
      <w:bookmarkEnd w:id="696"/>
      <w:r>
        <w:rPr>
          <w:highlight w:val="none"/>
        </w:rPr>
      </w:r>
      <w:bookmarkEnd w:id="697"/>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699" w:name="_Toc12672"/>
      <w:r>
        <w:rPr>
          <w:rFonts w:hint="eastAsia" w:ascii="宋体" w:hAnsi="宋体" w:cs="宋体"/>
          <w:sz w:val="24"/>
          <w:szCs w:val="24"/>
          <w:highlight w:val="none"/>
        </w:rPr>
        <w:t xml:space="preserve">1</w:t>
      </w:r>
      <w:bookmarkStart w:id="700" w:name="_Toc292559909"/>
      <w:r>
        <w:rPr>
          <w:highlight w:val="none"/>
        </w:rPr>
      </w:r>
      <w:bookmarkStart w:id="701" w:name="_Toc296346700"/>
      <w:r>
        <w:rPr>
          <w:highlight w:val="none"/>
        </w:rPr>
      </w:r>
      <w:bookmarkStart w:id="702" w:name="_Toc297216207"/>
      <w:r>
        <w:rPr>
          <w:highlight w:val="none"/>
        </w:rPr>
      </w:r>
      <w:bookmarkStart w:id="703" w:name="_Toc303539154"/>
      <w:r>
        <w:rPr>
          <w:highlight w:val="none"/>
        </w:rPr>
      </w:r>
      <w:bookmarkStart w:id="704" w:name="_Toc292559404"/>
      <w:r>
        <w:rPr>
          <w:highlight w:val="none"/>
        </w:rPr>
      </w:r>
      <w:bookmarkStart w:id="705" w:name="_Toc297123548"/>
      <w:r>
        <w:rPr>
          <w:highlight w:val="none"/>
        </w:rPr>
      </w:r>
      <w:bookmarkStart w:id="706" w:name="_Toc296944538"/>
      <w:r>
        <w:rPr>
          <w:highlight w:val="none"/>
        </w:rPr>
      </w:r>
      <w:bookmarkStart w:id="707" w:name="_Toc300934997"/>
      <w:r>
        <w:rPr>
          <w:highlight w:val="none"/>
        </w:rPr>
      </w:r>
      <w:bookmarkStart w:id="708" w:name="_Toc297048385"/>
      <w:r>
        <w:rPr>
          <w:highlight w:val="none"/>
        </w:rPr>
      </w:r>
      <w:bookmarkStart w:id="709" w:name="_Toc296347198"/>
      <w:r>
        <w:rPr>
          <w:highlight w:val="none"/>
        </w:rPr>
      </w:r>
      <w:bookmarkStart w:id="710" w:name="_Toc304295574"/>
      <w:r>
        <w:rPr>
          <w:highlight w:val="none"/>
        </w:rPr>
      </w:r>
      <w:bookmarkStart w:id="711" w:name="_Toc296891027"/>
      <w:r>
        <w:rPr>
          <w:highlight w:val="none"/>
        </w:rPr>
      </w:r>
      <w:bookmarkStart w:id="712" w:name="_Toc296503199"/>
      <w:r>
        <w:rPr>
          <w:highlight w:val="none"/>
        </w:rPr>
      </w:r>
      <w:bookmarkStart w:id="713" w:name="_Toc297120499"/>
      <w:r>
        <w:rPr>
          <w:highlight w:val="none"/>
        </w:rPr>
      </w:r>
      <w:bookmarkStart w:id="714" w:name="_Toc296891239"/>
      <w:r>
        <w:rPr>
          <w:highlight w:val="none"/>
        </w:rPr>
      </w:r>
      <w:bookmarkStart w:id="715" w:name="_Toc312677507"/>
      <w:r>
        <w:rPr>
          <w:highlight w:val="none"/>
        </w:rPr>
      </w:r>
      <w:bookmarkStart w:id="716" w:name="_Toc312678033"/>
      <w:r>
        <w:rPr>
          <w:rFonts w:hint="eastAsia" w:ascii="宋体" w:hAnsi="宋体" w:cs="宋体"/>
          <w:sz w:val="24"/>
          <w:szCs w:val="24"/>
          <w:highlight w:val="none"/>
        </w:rPr>
        <w:t xml:space="preserve">0.7 暂估价</w:t>
      </w:r>
      <w:bookmarkEnd w:id="699"/>
      <w:r>
        <w:rPr>
          <w:highlight w:val="none"/>
        </w:rPr>
      </w:r>
      <w:bookmarkEnd w:id="700"/>
      <w:r>
        <w:rPr>
          <w:highlight w:val="none"/>
        </w:rPr>
      </w:r>
      <w:bookmarkEnd w:id="701"/>
      <w:r>
        <w:rPr>
          <w:highlight w:val="none"/>
        </w:rPr>
      </w:r>
      <w:bookmarkEnd w:id="702"/>
      <w:r>
        <w:rPr>
          <w:highlight w:val="none"/>
        </w:rPr>
      </w:r>
      <w:bookmarkEnd w:id="703"/>
      <w:r>
        <w:rPr>
          <w:highlight w:val="none"/>
        </w:rPr>
      </w:r>
      <w:bookmarkEnd w:id="704"/>
      <w:r>
        <w:rPr>
          <w:highlight w:val="none"/>
        </w:rPr>
      </w:r>
      <w:bookmarkEnd w:id="705"/>
      <w:r>
        <w:rPr>
          <w:highlight w:val="none"/>
        </w:rPr>
      </w:r>
      <w:bookmarkEnd w:id="706"/>
      <w:r>
        <w:rPr>
          <w:highlight w:val="none"/>
        </w:rPr>
      </w:r>
      <w:bookmarkEnd w:id="707"/>
      <w:r>
        <w:rPr>
          <w:highlight w:val="none"/>
        </w:rPr>
      </w:r>
      <w:bookmarkEnd w:id="708"/>
      <w:r>
        <w:rPr>
          <w:highlight w:val="none"/>
        </w:rPr>
      </w:r>
      <w:bookmarkEnd w:id="709"/>
      <w:r>
        <w:rPr>
          <w:highlight w:val="none"/>
        </w:rPr>
      </w:r>
      <w:bookmarkEnd w:id="710"/>
      <w:r>
        <w:rPr>
          <w:highlight w:val="none"/>
        </w:rPr>
      </w:r>
      <w:bookmarkEnd w:id="711"/>
      <w:r>
        <w:rPr>
          <w:highlight w:val="none"/>
        </w:rPr>
      </w:r>
      <w:bookmarkEnd w:id="712"/>
      <w:r>
        <w:rPr>
          <w:highlight w:val="none"/>
        </w:rPr>
      </w:r>
      <w:bookmarkEnd w:id="713"/>
      <w:r>
        <w:rPr>
          <w:highlight w:val="none"/>
        </w:rPr>
      </w:r>
      <w:bookmarkEnd w:id="714"/>
      <w:r>
        <w:rPr>
          <w:highlight w:val="none"/>
        </w:rPr>
      </w:r>
      <w:bookmarkEnd w:id="715"/>
      <w:r>
        <w:rPr>
          <w:highlight w:val="none"/>
        </w:rPr>
      </w:r>
      <w:bookmarkEnd w:id="716"/>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暂</w:t>
      </w:r>
      <w:bookmarkStart w:id="717" w:name="_Toc312678034"/>
      <w:r>
        <w:rPr>
          <w:highlight w:val="none"/>
        </w:rPr>
      </w:r>
      <w:bookmarkStart w:id="718" w:name="_Toc312677508"/>
      <w:r>
        <w:rPr>
          <w:highlight w:val="none"/>
        </w:rPr>
      </w:r>
      <w:bookmarkStart w:id="719" w:name="_Toc318581176"/>
      <w:r>
        <w:rPr>
          <w:rFonts w:hint="eastAsia" w:ascii="宋体" w:hAnsi="宋体" w:cs="宋体"/>
          <w:sz w:val="24"/>
          <w:szCs w:val="24"/>
          <w:highlight w:val="none"/>
        </w:rPr>
        <w:t xml:space="preserve">估价材料和工程设备的明细详见附件11：《暂估价一览表》。</w:t>
      </w:r>
      <w:bookmarkEnd w:id="717"/>
      <w:r>
        <w:rPr>
          <w:highlight w:val="none"/>
        </w:rPr>
      </w:r>
      <w:bookmarkEnd w:id="718"/>
      <w:r>
        <w:rPr>
          <w:highlight w:val="none"/>
        </w:rPr>
      </w:r>
      <w:bookmarkEnd w:id="719"/>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w:t>
      </w:r>
      <w:bookmarkStart w:id="720" w:name="_Toc312677509"/>
      <w:r>
        <w:rPr>
          <w:highlight w:val="none"/>
        </w:rPr>
      </w:r>
      <w:bookmarkStart w:id="721" w:name="_Toc318581177"/>
      <w:r>
        <w:rPr>
          <w:highlight w:val="none"/>
        </w:rPr>
      </w:r>
      <w:bookmarkStart w:id="722" w:name="_Toc312678035"/>
      <w:r>
        <w:rPr>
          <w:rFonts w:hint="eastAsia" w:ascii="宋体" w:hAnsi="宋体" w:cs="宋体"/>
          <w:sz w:val="24"/>
          <w:szCs w:val="24"/>
          <w:highlight w:val="none"/>
        </w:rPr>
        <w:t xml:space="preserve">0.7.1 依法必须招标的暂估价项目</w:t>
      </w:r>
      <w:bookmarkEnd w:id="720"/>
      <w:r>
        <w:rPr>
          <w:highlight w:val="none"/>
        </w:rPr>
      </w:r>
      <w:bookmarkEnd w:id="721"/>
      <w:r>
        <w:rPr>
          <w:highlight w:val="none"/>
        </w:rPr>
      </w:r>
      <w:bookmarkEnd w:id="722"/>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对于依法必须招标的暂估价项目的确认和批准采取第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种方式确定。</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10.7.2 不属于依法必须招标的暂估价项目</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对于不属于依法必须招标的暂估价项目的确认和批准采取第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种方式确定。</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第3种方式：承包人直接实施的暂估价项目</w:t>
      </w:r>
      <w:r>
        <w:rPr>
          <w:highlight w:val="none"/>
        </w:rPr>
      </w:r>
      <w:r/>
    </w:p>
    <w:p>
      <w:pPr>
        <w:jc w:val="left"/>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承包人直接实施的暂估价项目的约定：</w:t>
      </w:r>
      <w:bookmarkStart w:id="723" w:name="EBe71510d90cdc4ea48adc88a972c8067d"/>
      <w:r>
        <w:rPr>
          <w:rFonts w:hint="eastAsia" w:ascii="宋体" w:hAnsi="宋体" w:cs="宋体"/>
          <w:sz w:val="24"/>
          <w:szCs w:val="24"/>
          <w:highlight w:val="none"/>
          <w:u w:val="single"/>
        </w:rPr>
        <w:t xml:space="preserve">承包人具备实施暂估价项目的资格和条件的， 经发包人和承包人协商一致后，可由承包人自行实施暂估价项目</w:t>
      </w:r>
      <w:bookmarkEnd w:id="723"/>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724" w:name="_Toc11522"/>
      <w:r>
        <w:rPr>
          <w:rFonts w:hint="eastAsia" w:ascii="宋体" w:hAnsi="宋体" w:cs="宋体"/>
          <w:sz w:val="24"/>
          <w:szCs w:val="24"/>
          <w:highlight w:val="none"/>
        </w:rPr>
        <w:t xml:space="preserve">10.8 暂列金额</w:t>
      </w:r>
      <w:bookmarkEnd w:id="724"/>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合同当事人关于暂列金额使用的约定：</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outlineLvl w:val="1"/>
      </w:pPr>
      <w:r>
        <w:rPr>
          <w:highlight w:val="none"/>
        </w:rPr>
      </w:r>
      <w:bookmarkStart w:id="725" w:name="_Toc351203643"/>
      <w:r>
        <w:rPr>
          <w:highlight w:val="none"/>
        </w:rPr>
      </w:r>
      <w:bookmarkStart w:id="726" w:name="_Toc589"/>
      <w:r>
        <w:rPr>
          <w:rFonts w:hint="eastAsia" w:ascii="宋体" w:hAnsi="宋体" w:cs="宋体"/>
          <w:sz w:val="24"/>
          <w:szCs w:val="24"/>
          <w:highlight w:val="none"/>
        </w:rPr>
        <w:t xml:space="preserve">11. 价格调整</w:t>
      </w:r>
      <w:bookmarkEnd w:id="725"/>
      <w:r>
        <w:rPr>
          <w:highlight w:val="none"/>
        </w:rPr>
      </w:r>
      <w:bookmarkEnd w:id="726"/>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727" w:name="_Toc312678039"/>
      <w:r>
        <w:rPr>
          <w:highlight w:val="none"/>
        </w:rPr>
      </w:r>
      <w:bookmarkStart w:id="728" w:name="_Toc296346702"/>
      <w:r>
        <w:rPr>
          <w:highlight w:val="none"/>
        </w:rPr>
      </w:r>
      <w:bookmarkStart w:id="729" w:name="_Toc296944540"/>
      <w:r>
        <w:rPr>
          <w:highlight w:val="none"/>
        </w:rPr>
      </w:r>
      <w:bookmarkStart w:id="730" w:name="_Toc292559406"/>
      <w:r>
        <w:rPr>
          <w:highlight w:val="none"/>
        </w:rPr>
      </w:r>
      <w:bookmarkStart w:id="731" w:name="_Toc297216209"/>
      <w:r>
        <w:rPr>
          <w:highlight w:val="none"/>
        </w:rPr>
      </w:r>
      <w:bookmarkStart w:id="732" w:name="_Toc297120501"/>
      <w:r>
        <w:rPr>
          <w:highlight w:val="none"/>
        </w:rPr>
      </w:r>
      <w:bookmarkStart w:id="733" w:name="_Toc297123550"/>
      <w:r>
        <w:rPr>
          <w:highlight w:val="none"/>
        </w:rPr>
      </w:r>
      <w:bookmarkStart w:id="734" w:name="_Toc296503201"/>
      <w:r>
        <w:rPr>
          <w:highlight w:val="none"/>
        </w:rPr>
      </w:r>
      <w:bookmarkStart w:id="735" w:name="_Toc6638"/>
      <w:r>
        <w:rPr>
          <w:highlight w:val="none"/>
        </w:rPr>
      </w:r>
      <w:bookmarkStart w:id="736" w:name="_Toc296891241"/>
      <w:r>
        <w:rPr>
          <w:highlight w:val="none"/>
        </w:rPr>
      </w:r>
      <w:bookmarkStart w:id="737" w:name="_Toc296891029"/>
      <w:r>
        <w:rPr>
          <w:highlight w:val="none"/>
        </w:rPr>
      </w:r>
      <w:bookmarkStart w:id="738" w:name="_Toc303539157"/>
      <w:r>
        <w:rPr>
          <w:highlight w:val="none"/>
        </w:rPr>
      </w:r>
      <w:bookmarkStart w:id="739" w:name="_Toc300935000"/>
      <w:r>
        <w:rPr>
          <w:highlight w:val="none"/>
        </w:rPr>
      </w:r>
      <w:bookmarkStart w:id="740" w:name="_Toc296347200"/>
      <w:r>
        <w:rPr>
          <w:highlight w:val="none"/>
        </w:rPr>
      </w:r>
      <w:bookmarkStart w:id="741" w:name="_Toc304295577"/>
      <w:r>
        <w:rPr>
          <w:highlight w:val="none"/>
        </w:rPr>
      </w:r>
      <w:bookmarkStart w:id="742" w:name="_Toc297048387"/>
      <w:r>
        <w:rPr>
          <w:highlight w:val="none"/>
        </w:rPr>
      </w:r>
      <w:bookmarkStart w:id="743" w:name="_Toc292559911"/>
      <w:r>
        <w:rPr>
          <w:rFonts w:hint="eastAsia" w:ascii="宋体" w:hAnsi="宋体" w:cs="宋体"/>
          <w:sz w:val="24"/>
          <w:szCs w:val="24"/>
          <w:highlight w:val="none"/>
        </w:rPr>
        <w:t xml:space="preserve">11.1 市场价格波动引起的调整</w:t>
      </w:r>
      <w:bookmarkEnd w:id="727"/>
      <w:r>
        <w:rPr>
          <w:highlight w:val="none"/>
        </w:rPr>
      </w:r>
      <w:bookmarkEnd w:id="728"/>
      <w:r>
        <w:rPr>
          <w:highlight w:val="none"/>
        </w:rPr>
      </w:r>
      <w:bookmarkEnd w:id="729"/>
      <w:r>
        <w:rPr>
          <w:highlight w:val="none"/>
        </w:rPr>
      </w:r>
      <w:bookmarkEnd w:id="730"/>
      <w:r>
        <w:rPr>
          <w:highlight w:val="none"/>
        </w:rPr>
      </w:r>
      <w:bookmarkEnd w:id="731"/>
      <w:r>
        <w:rPr>
          <w:highlight w:val="none"/>
        </w:rPr>
      </w:r>
      <w:bookmarkEnd w:id="732"/>
      <w:r>
        <w:rPr>
          <w:highlight w:val="none"/>
        </w:rPr>
      </w:r>
      <w:bookmarkEnd w:id="733"/>
      <w:r>
        <w:rPr>
          <w:highlight w:val="none"/>
        </w:rPr>
      </w:r>
      <w:bookmarkEnd w:id="734"/>
      <w:r>
        <w:rPr>
          <w:highlight w:val="none"/>
        </w:rPr>
      </w:r>
      <w:bookmarkEnd w:id="735"/>
      <w:r>
        <w:rPr>
          <w:highlight w:val="none"/>
        </w:rPr>
      </w:r>
      <w:bookmarkEnd w:id="736"/>
      <w:r>
        <w:rPr>
          <w:highlight w:val="none"/>
        </w:rPr>
      </w:r>
      <w:bookmarkEnd w:id="737"/>
      <w:r>
        <w:rPr>
          <w:highlight w:val="none"/>
        </w:rPr>
      </w:r>
      <w:bookmarkEnd w:id="738"/>
      <w:r>
        <w:rPr>
          <w:highlight w:val="none"/>
        </w:rPr>
      </w:r>
      <w:bookmarkEnd w:id="739"/>
      <w:r>
        <w:rPr>
          <w:highlight w:val="none"/>
        </w:rPr>
      </w:r>
      <w:bookmarkEnd w:id="740"/>
      <w:r>
        <w:rPr>
          <w:highlight w:val="none"/>
        </w:rPr>
      </w:r>
      <w:bookmarkEnd w:id="741"/>
      <w:r>
        <w:rPr>
          <w:highlight w:val="none"/>
        </w:rPr>
      </w:r>
      <w:bookmarkEnd w:id="742"/>
      <w:r>
        <w:rPr>
          <w:highlight w:val="none"/>
        </w:rPr>
      </w:r>
      <w:bookmarkEnd w:id="743"/>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市场价格波动是否调整合同价格的约定：</w:t>
      </w:r>
      <w:bookmarkStart w:id="744" w:name="EB55d6582a9fc249b7aac8c1cdde23dfcc"/>
      <w:r>
        <w:rPr>
          <w:rFonts w:hint="eastAsia" w:ascii="宋体" w:hAnsi="宋体" w:cs="宋体"/>
          <w:sz w:val="24"/>
          <w:szCs w:val="24"/>
          <w:highlight w:val="none"/>
          <w:u w:val="single"/>
        </w:rPr>
        <w:t xml:space="preserve">执行招标文件</w:t>
      </w:r>
      <w:bookmarkEnd w:id="744"/>
      <w:r>
        <w:rPr>
          <w:rFonts w:hint="eastAsia" w:ascii="宋体" w:hAnsi="宋体" w:cs="宋体"/>
          <w:sz w:val="24"/>
          <w:szCs w:val="24"/>
          <w:highlight w:val="none"/>
          <w:u w:val="single"/>
        </w:rPr>
        <w:t xml:space="preserve"> 。</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因市场价格波动调整合同价格，采用以下第</w:t>
      </w:r>
      <w:r>
        <w:rPr>
          <w:rFonts w:hint="eastAsia" w:ascii="宋体" w:hAnsi="宋体" w:cs="宋体"/>
          <w:sz w:val="24"/>
          <w:szCs w:val="24"/>
          <w:highlight w:val="none"/>
          <w:u w:val="single"/>
        </w:rPr>
        <w:t xml:space="preserve"> </w:t>
      </w:r>
      <w:bookmarkStart w:id="745" w:name="EB4adc9768fa814fa49b3b2e8342b71e41"/>
      <w:r>
        <w:rPr>
          <w:rFonts w:hint="eastAsia" w:ascii="宋体" w:hAnsi="宋体" w:cs="宋体"/>
          <w:sz w:val="24"/>
          <w:szCs w:val="24"/>
          <w:highlight w:val="none"/>
          <w:u w:val="single"/>
        </w:rPr>
        <w:t xml:space="preserve">（3）</w:t>
      </w:r>
      <w:bookmarkEnd w:id="745"/>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种方式对合同价格进行调整：</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第1种方式：采用价格指数进行价格调整。</w:t>
      </w:r>
      <w:r>
        <w:rPr>
          <w:highlight w:val="none"/>
        </w:rPr>
      </w:r>
      <w:r/>
    </w:p>
    <w:p>
      <w:pPr>
        <w:ind w:firstLine="480"/>
        <w:jc w:val="left"/>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关于各可调因子、定值和变值权重，以及基本价格指数及其来源的约定：</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第2种方式：采用造价信息进行价格调整。</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（2）关于基准价格的约定：</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%时，或材料单价跌幅以已标价工程量清单或预算书中载明材料单价为基础超过</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%时，其超过部分据实调整。</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%时，材料单价涨幅以已标价工程量清单或预算书中载明材料单价为基础超过</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%时，其超过部分据实调整。</w:t>
      </w:r>
      <w:r>
        <w:rPr>
          <w:highlight w:val="none"/>
        </w:rPr>
      </w:r>
      <w:r/>
    </w:p>
    <w:p>
      <w:pPr>
        <w:ind w:firstLine="645"/>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%时，其超过部分据实调整。</w:t>
      </w:r>
      <w:r>
        <w:rPr>
          <w:highlight w:val="none"/>
        </w:rPr>
      </w:r>
      <w:r/>
    </w:p>
    <w:p>
      <w:pPr>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第3种方式：其他价格调整方式：</w:t>
      </w:r>
      <w:bookmarkStart w:id="746" w:name="EB5f50a21cfbfc4725a6b1177e2aacfc11"/>
      <w:r>
        <w:rPr>
          <w:rFonts w:hint="eastAsia" w:ascii="宋体" w:hAnsi="宋体" w:cs="宋体"/>
          <w:sz w:val="24"/>
          <w:szCs w:val="24"/>
          <w:highlight w:val="none"/>
          <w:u w:val="single"/>
        </w:rPr>
        <w:t xml:space="preserve">本工程固定综合单价报价，投标人应充分考虑施工期间各类建材的市场风险确定总报价。除非出现下列情况，其它各类风险因素均不作调整。a、 当施工期间第一类主要建筑材料价格上涨或下降幅度超过 10%时， 超过 10%部分的差价由发包人承担或受益；当工程施工期间第二类主要建筑材料价格上涨或下降幅度超过 5%时，超过 5%部分的差价由发包人承</w:t>
      </w:r>
      <w:r>
        <w:rPr>
          <w:rFonts w:hint="eastAsia" w:ascii="宋体" w:hAnsi="宋体" w:cs="宋体"/>
          <w:sz w:val="24"/>
          <w:szCs w:val="24"/>
          <w:highlight w:val="none"/>
          <w:u w:val="single"/>
        </w:rPr>
        <w:t xml:space="preserve">担或受益。 主要建筑材料差价的取定参照镇政建[2008]89 号文 （因发包人原因造成工期延误的除外）。注：材料费占单位工程费 2%以下的各类材料为非主要建筑材料；材料费占单位工程费 2%以上，10%以内的各类材料为第一类主要建筑材料；材料费占单位工程费 10%以上的各类材料为第二类主要建筑材料。主要建筑材料差价的取定： 应以工程所在地造价管理部门发布的材料指导价格为基准 （缺指导价的材料以双方确认的市场信息价为准） ，差价为施工期同类材料加权平均指导价格与地区材料指导价格（具体期数详见编制说明）的差额。 </w:t>
      </w:r>
      <w:r>
        <w:rPr>
          <w:highlight w:val="none"/>
        </w:rPr>
      </w:r>
      <w:r/>
    </w:p>
    <w:p>
      <w:pPr>
        <w:spacing w:line="3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施工期材料加权平均指导价按下列公式计算： </w:t>
      </w:r>
      <w:r>
        <w:rPr>
          <w:highlight w:val="none"/>
        </w:rPr>
      </w:r>
      <w:r/>
    </w:p>
    <w:p>
      <w:pPr>
        <w:jc w:val="left"/>
        <w:spacing w:line="3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施工期材料加权平均指导价=Σ（每月实际使用量×当月材料指导价）/同类材料总用量。</w:t>
      </w:r>
      <w:bookmarkEnd w:id="622"/>
      <w:r>
        <w:rPr>
          <w:highlight w:val="none"/>
        </w:rPr>
      </w:r>
      <w:bookmarkEnd w:id="623"/>
      <w:r>
        <w:rPr>
          <w:highlight w:val="none"/>
        </w:rPr>
      </w:r>
      <w:bookmarkEnd w:id="624"/>
      <w:r>
        <w:rPr>
          <w:highlight w:val="none"/>
        </w:rPr>
      </w:r>
      <w:bookmarkEnd w:id="625"/>
      <w:r>
        <w:rPr>
          <w:highlight w:val="none"/>
        </w:rPr>
      </w:r>
      <w:bookmarkEnd w:id="626"/>
      <w:r>
        <w:rPr>
          <w:highlight w:val="none"/>
        </w:rPr>
      </w:r>
      <w:bookmarkEnd w:id="627"/>
      <w:r>
        <w:rPr>
          <w:highlight w:val="none"/>
        </w:rPr>
      </w:r>
      <w:bookmarkEnd w:id="746"/>
      <w:r>
        <w:rPr>
          <w:highlight w:val="none"/>
        </w:rPr>
      </w:r>
      <w:r/>
    </w:p>
    <w:p>
      <w:pPr>
        <w:spacing w:line="300" w:lineRule="exact"/>
        <w:rPr>
          <w:rFonts w:hint="eastAsia" w:ascii="宋体" w:hAnsi="宋体" w:cs="宋体"/>
          <w:sz w:val="24"/>
          <w:szCs w:val="24"/>
          <w:highlight w:val="none"/>
        </w:rPr>
        <w:outlineLvl w:val="1"/>
      </w:pPr>
      <w:r>
        <w:rPr>
          <w:highlight w:val="none"/>
        </w:rPr>
      </w:r>
      <w:bookmarkStart w:id="747" w:name="_Toc296891033"/>
      <w:r>
        <w:rPr>
          <w:highlight w:val="none"/>
        </w:rPr>
      </w:r>
      <w:bookmarkStart w:id="748" w:name="_Toc296347204"/>
      <w:r>
        <w:rPr>
          <w:highlight w:val="none"/>
        </w:rPr>
      </w:r>
      <w:bookmarkStart w:id="749" w:name="_Toc296346706"/>
      <w:r>
        <w:rPr>
          <w:highlight w:val="none"/>
        </w:rPr>
      </w:r>
      <w:bookmarkStart w:id="750" w:name="_Toc296891245"/>
      <w:r>
        <w:rPr>
          <w:highlight w:val="none"/>
        </w:rPr>
      </w:r>
      <w:bookmarkStart w:id="751" w:name="_Toc292559410"/>
      <w:r>
        <w:rPr>
          <w:highlight w:val="none"/>
        </w:rPr>
      </w:r>
      <w:bookmarkStart w:id="752" w:name="_Toc292559915"/>
      <w:r>
        <w:rPr>
          <w:highlight w:val="none"/>
        </w:rPr>
      </w:r>
      <w:bookmarkStart w:id="753" w:name="_Toc297048391"/>
      <w:r>
        <w:rPr>
          <w:highlight w:val="none"/>
        </w:rPr>
      </w:r>
      <w:bookmarkStart w:id="754" w:name="_Toc296503205"/>
      <w:r>
        <w:rPr>
          <w:highlight w:val="none"/>
        </w:rPr>
      </w:r>
      <w:bookmarkStart w:id="755" w:name="_Toc297120505"/>
      <w:r>
        <w:rPr>
          <w:highlight w:val="none"/>
        </w:rPr>
      </w:r>
      <w:bookmarkStart w:id="756" w:name="_Toc296944544"/>
      <w:r>
        <w:rPr>
          <w:highlight w:val="none"/>
        </w:rPr>
      </w:r>
      <w:bookmarkStart w:id="757" w:name="_Toc32688"/>
      <w:r>
        <w:rPr>
          <w:highlight w:val="none"/>
        </w:rPr>
      </w:r>
      <w:bookmarkStart w:id="758" w:name="_Toc297123552"/>
      <w:r>
        <w:rPr>
          <w:highlight w:val="none"/>
        </w:rPr>
      </w:r>
      <w:bookmarkStart w:id="759" w:name="_Toc303539159"/>
      <w:r>
        <w:rPr>
          <w:highlight w:val="none"/>
        </w:rPr>
      </w:r>
      <w:bookmarkStart w:id="760" w:name="_Toc312678040"/>
      <w:r>
        <w:rPr>
          <w:highlight w:val="none"/>
        </w:rPr>
      </w:r>
      <w:bookmarkStart w:id="761" w:name="_Toc300935002"/>
      <w:r>
        <w:rPr>
          <w:highlight w:val="none"/>
        </w:rPr>
      </w:r>
      <w:bookmarkStart w:id="762" w:name="_Toc351203644"/>
      <w:r>
        <w:rPr>
          <w:highlight w:val="none"/>
        </w:rPr>
      </w:r>
      <w:bookmarkStart w:id="763" w:name="_Toc304295579"/>
      <w:r>
        <w:rPr>
          <w:highlight w:val="none"/>
        </w:rPr>
      </w:r>
      <w:bookmarkStart w:id="764" w:name="_Toc297216211"/>
      <w:r>
        <w:rPr>
          <w:rFonts w:hint="eastAsia" w:ascii="宋体" w:hAnsi="宋体" w:cs="宋体"/>
          <w:sz w:val="24"/>
          <w:szCs w:val="24"/>
          <w:highlight w:val="none"/>
        </w:rPr>
        <w:t xml:space="preserve">12. </w:t>
      </w:r>
      <w:bookmarkEnd w:id="747"/>
      <w:r>
        <w:rPr>
          <w:highlight w:val="none"/>
        </w:rPr>
      </w:r>
      <w:bookmarkEnd w:id="748"/>
      <w:r>
        <w:rPr>
          <w:highlight w:val="none"/>
        </w:rPr>
      </w:r>
      <w:bookmarkEnd w:id="749"/>
      <w:r>
        <w:rPr>
          <w:highlight w:val="none"/>
        </w:rPr>
      </w:r>
      <w:bookmarkEnd w:id="750"/>
      <w:r>
        <w:rPr>
          <w:highlight w:val="none"/>
        </w:rPr>
      </w:r>
      <w:bookmarkEnd w:id="751"/>
      <w:r>
        <w:rPr>
          <w:highlight w:val="none"/>
        </w:rPr>
      </w:r>
      <w:bookmarkEnd w:id="752"/>
      <w:r>
        <w:rPr>
          <w:highlight w:val="none"/>
        </w:rPr>
      </w:r>
      <w:bookmarkEnd w:id="753"/>
      <w:r>
        <w:rPr>
          <w:highlight w:val="none"/>
        </w:rPr>
      </w:r>
      <w:bookmarkEnd w:id="754"/>
      <w:r>
        <w:rPr>
          <w:highlight w:val="none"/>
        </w:rPr>
      </w:r>
      <w:bookmarkEnd w:id="755"/>
      <w:r>
        <w:rPr>
          <w:highlight w:val="none"/>
        </w:rPr>
      </w:r>
      <w:bookmarkEnd w:id="756"/>
      <w:r>
        <w:rPr>
          <w:rFonts w:hint="eastAsia" w:ascii="宋体" w:hAnsi="宋体" w:cs="宋体"/>
          <w:sz w:val="24"/>
          <w:szCs w:val="24"/>
          <w:highlight w:val="none"/>
        </w:rPr>
        <w:t xml:space="preserve">合同价格、计量与支付</w:t>
      </w:r>
      <w:bookmarkEnd w:id="757"/>
      <w:r>
        <w:rPr>
          <w:highlight w:val="none"/>
        </w:rPr>
      </w:r>
      <w:bookmarkEnd w:id="758"/>
      <w:r>
        <w:rPr>
          <w:highlight w:val="none"/>
        </w:rPr>
      </w:r>
      <w:bookmarkEnd w:id="759"/>
      <w:r>
        <w:rPr>
          <w:highlight w:val="none"/>
        </w:rPr>
      </w:r>
      <w:bookmarkEnd w:id="760"/>
      <w:r>
        <w:rPr>
          <w:highlight w:val="none"/>
        </w:rPr>
      </w:r>
      <w:bookmarkEnd w:id="761"/>
      <w:r>
        <w:rPr>
          <w:highlight w:val="none"/>
        </w:rPr>
      </w:r>
      <w:bookmarkEnd w:id="762"/>
      <w:r>
        <w:rPr>
          <w:highlight w:val="none"/>
        </w:rPr>
      </w:r>
      <w:bookmarkEnd w:id="763"/>
      <w:r>
        <w:rPr>
          <w:highlight w:val="none"/>
        </w:rPr>
      </w:r>
      <w:bookmarkEnd w:id="764"/>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765" w:name="_Toc292559411"/>
      <w:r>
        <w:rPr>
          <w:highlight w:val="none"/>
        </w:rPr>
      </w:r>
      <w:bookmarkStart w:id="766" w:name="_Toc267251461"/>
      <w:r>
        <w:rPr>
          <w:highlight w:val="none"/>
        </w:rPr>
      </w:r>
      <w:bookmarkStart w:id="767" w:name="_Toc292559916"/>
      <w:r>
        <w:rPr>
          <w:highlight w:val="none"/>
        </w:rPr>
      </w:r>
      <w:bookmarkStart w:id="768" w:name="_Toc297120506"/>
      <w:r>
        <w:rPr>
          <w:highlight w:val="none"/>
        </w:rPr>
      </w:r>
      <w:bookmarkStart w:id="769" w:name="_Toc296503206"/>
      <w:r>
        <w:rPr>
          <w:highlight w:val="none"/>
        </w:rPr>
      </w:r>
      <w:bookmarkStart w:id="770" w:name="_Toc296891034"/>
      <w:r>
        <w:rPr>
          <w:highlight w:val="none"/>
        </w:rPr>
      </w:r>
      <w:bookmarkStart w:id="771" w:name="_Toc297048392"/>
      <w:r>
        <w:rPr>
          <w:highlight w:val="none"/>
        </w:rPr>
      </w:r>
      <w:bookmarkStart w:id="772" w:name="_Toc296944545"/>
      <w:r>
        <w:rPr>
          <w:highlight w:val="none"/>
        </w:rPr>
      </w:r>
      <w:bookmarkStart w:id="773" w:name="_Toc296346707"/>
      <w:r>
        <w:rPr>
          <w:highlight w:val="none"/>
        </w:rPr>
      </w:r>
      <w:bookmarkStart w:id="774" w:name="_Toc296347205"/>
      <w:r>
        <w:rPr>
          <w:highlight w:val="none"/>
        </w:rPr>
      </w:r>
      <w:bookmarkStart w:id="775" w:name="_Toc296891246"/>
      <w:r>
        <w:rPr>
          <w:highlight w:val="none"/>
        </w:rPr>
      </w:r>
      <w:bookmarkStart w:id="776" w:name="_Toc297123553"/>
      <w:r>
        <w:rPr>
          <w:highlight w:val="none"/>
        </w:rPr>
      </w:r>
      <w:bookmarkStart w:id="777" w:name="_Toc312678041"/>
      <w:r>
        <w:rPr>
          <w:highlight w:val="none"/>
        </w:rPr>
      </w:r>
      <w:bookmarkStart w:id="778" w:name="_Toc300935003"/>
      <w:r>
        <w:rPr>
          <w:highlight w:val="none"/>
        </w:rPr>
      </w:r>
      <w:bookmarkStart w:id="779" w:name="_Toc12007"/>
      <w:r>
        <w:rPr>
          <w:highlight w:val="none"/>
        </w:rPr>
      </w:r>
      <w:bookmarkStart w:id="780" w:name="_Toc303539160"/>
      <w:r>
        <w:rPr>
          <w:highlight w:val="none"/>
        </w:rPr>
      </w:r>
      <w:bookmarkStart w:id="781" w:name="_Toc297216212"/>
      <w:r>
        <w:rPr>
          <w:highlight w:val="none"/>
        </w:rPr>
      </w:r>
      <w:bookmarkStart w:id="782" w:name="_Toc304295580"/>
      <w:r>
        <w:rPr>
          <w:rFonts w:hint="eastAsia" w:ascii="宋体" w:hAnsi="宋体" w:cs="宋体"/>
          <w:sz w:val="24"/>
          <w:szCs w:val="24"/>
          <w:highlight w:val="none"/>
        </w:rPr>
        <w:t xml:space="preserve">12.1 合</w:t>
      </w:r>
      <w:bookmarkEnd w:id="765"/>
      <w:r>
        <w:rPr>
          <w:highlight w:val="none"/>
        </w:rPr>
      </w:r>
      <w:bookmarkEnd w:id="766"/>
      <w:r>
        <w:rPr>
          <w:highlight w:val="none"/>
        </w:rPr>
      </w:r>
      <w:bookmarkEnd w:id="767"/>
      <w:r>
        <w:rPr>
          <w:rFonts w:hint="eastAsia" w:ascii="宋体" w:hAnsi="宋体" w:cs="宋体"/>
          <w:sz w:val="24"/>
          <w:szCs w:val="24"/>
          <w:highlight w:val="none"/>
        </w:rPr>
        <w:t xml:space="preserve">同价</w:t>
      </w:r>
      <w:bookmarkEnd w:id="768"/>
      <w:r>
        <w:rPr>
          <w:highlight w:val="none"/>
        </w:rPr>
      </w:r>
      <w:bookmarkEnd w:id="769"/>
      <w:r>
        <w:rPr>
          <w:highlight w:val="none"/>
        </w:rPr>
      </w:r>
      <w:bookmarkEnd w:id="770"/>
      <w:r>
        <w:rPr>
          <w:highlight w:val="none"/>
        </w:rPr>
      </w:r>
      <w:bookmarkEnd w:id="771"/>
      <w:r>
        <w:rPr>
          <w:highlight w:val="none"/>
        </w:rPr>
      </w:r>
      <w:bookmarkEnd w:id="772"/>
      <w:r>
        <w:rPr>
          <w:highlight w:val="none"/>
        </w:rPr>
      </w:r>
      <w:bookmarkEnd w:id="773"/>
      <w:r>
        <w:rPr>
          <w:highlight w:val="none"/>
        </w:rPr>
      </w:r>
      <w:bookmarkEnd w:id="774"/>
      <w:r>
        <w:rPr>
          <w:highlight w:val="none"/>
        </w:rPr>
      </w:r>
      <w:bookmarkEnd w:id="775"/>
      <w:r>
        <w:rPr>
          <w:rFonts w:hint="eastAsia" w:ascii="宋体" w:hAnsi="宋体" w:cs="宋体"/>
          <w:sz w:val="24"/>
          <w:szCs w:val="24"/>
          <w:highlight w:val="none"/>
        </w:rPr>
        <w:t xml:space="preserve">格形式</w:t>
      </w:r>
      <w:bookmarkEnd w:id="776"/>
      <w:r>
        <w:rPr>
          <w:highlight w:val="none"/>
        </w:rPr>
      </w:r>
      <w:bookmarkEnd w:id="777"/>
      <w:r>
        <w:rPr>
          <w:highlight w:val="none"/>
        </w:rPr>
      </w:r>
      <w:bookmarkEnd w:id="778"/>
      <w:r>
        <w:rPr>
          <w:highlight w:val="none"/>
        </w:rPr>
      </w:r>
      <w:bookmarkEnd w:id="779"/>
      <w:r>
        <w:rPr>
          <w:highlight w:val="none"/>
        </w:rPr>
      </w:r>
      <w:bookmarkEnd w:id="780"/>
      <w:r>
        <w:rPr>
          <w:highlight w:val="none"/>
        </w:rPr>
      </w:r>
      <w:bookmarkEnd w:id="781"/>
      <w:r>
        <w:rPr>
          <w:highlight w:val="none"/>
        </w:rPr>
      </w:r>
      <w:bookmarkEnd w:id="782"/>
      <w:r>
        <w:rPr>
          <w:highlight w:val="none"/>
        </w:rPr>
      </w:r>
      <w:r/>
    </w:p>
    <w:p>
      <w:pPr>
        <w:ind w:firstLine="480"/>
        <w:jc w:val="left"/>
        <w:spacing w:line="300" w:lineRule="exact"/>
        <w:rPr>
          <w:rFonts w:hint="eastAsia" w:ascii="宋体" w:hAnsi="宋体" w:cs="宋体"/>
          <w:sz w:val="24"/>
          <w:szCs w:val="24"/>
          <w:highlight w:val="none"/>
        </w:rPr>
        <w:outlineLvl w:val="1"/>
      </w:pPr>
      <w:r>
        <w:rPr>
          <w:highlight w:val="none"/>
        </w:rPr>
      </w:r>
      <w:bookmarkStart w:id="783" w:name="_Toc3198"/>
      <w:r>
        <w:rPr>
          <w:rFonts w:hint="eastAsia" w:ascii="宋体" w:hAnsi="宋体" w:cs="宋体"/>
          <w:sz w:val="24"/>
          <w:szCs w:val="24"/>
          <w:highlight w:val="none"/>
        </w:rPr>
        <w:t xml:space="preserve">1、单价合同。</w:t>
      </w:r>
      <w:bookmarkEnd w:id="783"/>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综合单价包含的风险范围：</w:t>
      </w:r>
      <w:bookmarkStart w:id="784" w:name="EB1dc8ffa2d8064286ae98f4354449956e"/>
      <w:r>
        <w:rPr>
          <w:rFonts w:hint="eastAsia" w:ascii="宋体" w:hAnsi="宋体" w:cs="宋体"/>
          <w:sz w:val="24"/>
          <w:szCs w:val="24"/>
          <w:highlight w:val="none"/>
        </w:rPr>
        <w:t xml:space="preserve">执行招标文件</w:t>
      </w:r>
      <w:bookmarkEnd w:id="784"/>
      <w:r>
        <w:rPr>
          <w:rFonts w:hint="eastAsia" w:ascii="宋体" w:hAnsi="宋体" w:cs="宋体"/>
          <w:sz w:val="24"/>
          <w:szCs w:val="24"/>
          <w:highlight w:val="none"/>
        </w:rPr>
        <w:t xml:space="preserve">。</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风险费用的计算方法：执行招标文件。</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风险范围以外合同价格的调整方法：</w:t>
      </w:r>
      <w:r>
        <w:rPr>
          <w:rFonts w:hint="eastAsia" w:ascii="宋体" w:hAnsi="宋体" w:cs="宋体"/>
          <w:sz w:val="24"/>
          <w:szCs w:val="24"/>
          <w:highlight w:val="none"/>
          <w:u w:val="single"/>
        </w:rPr>
        <w:t xml:space="preserve">A、施工期间发生人工、材料及其他政策性调整时按实调整。B、工程量清单漏项或设计变更引起的工程量清单项目，投标项目中已有的项目，综合单价执行中标时的综合单价;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 11.1 款〔市场价格波动引起的调整〕约定执行</w:t>
      </w:r>
      <w:r>
        <w:rPr>
          <w:rFonts w:hint="eastAsia" w:ascii="宋体" w:hAnsi="宋体" w:cs="宋体"/>
          <w:sz w:val="24"/>
          <w:szCs w:val="24"/>
          <w:highlight w:val="none"/>
        </w:rPr>
        <w:t xml:space="preserve">。</w:t>
      </w:r>
      <w:r>
        <w:rPr>
          <w:highlight w:val="none"/>
        </w:rPr>
      </w:r>
      <w:r/>
    </w:p>
    <w:p>
      <w:pPr>
        <w:ind w:firstLine="480"/>
        <w:jc w:val="left"/>
        <w:spacing w:line="300" w:lineRule="exact"/>
        <w:rPr>
          <w:rFonts w:hint="eastAsia" w:ascii="宋体" w:hAnsi="宋体" w:cs="宋体"/>
          <w:sz w:val="24"/>
          <w:szCs w:val="24"/>
          <w:highlight w:val="none"/>
        </w:rPr>
        <w:outlineLvl w:val="1"/>
      </w:pPr>
      <w:r>
        <w:rPr>
          <w:highlight w:val="none"/>
        </w:rPr>
      </w:r>
      <w:bookmarkStart w:id="785" w:name="_Toc19442"/>
      <w:r>
        <w:rPr>
          <w:rFonts w:hint="eastAsia" w:ascii="宋体" w:hAnsi="宋体" w:cs="宋体"/>
          <w:sz w:val="24"/>
          <w:szCs w:val="24"/>
          <w:highlight w:val="none"/>
        </w:rPr>
        <w:t xml:space="preserve">2、总价合同。</w:t>
      </w:r>
      <w:bookmarkEnd w:id="785"/>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总价包含的风险范围：</w:t>
      </w:r>
      <w:r>
        <w:rPr>
          <w:rFonts w:hint="eastAsia" w:ascii="宋体" w:hAnsi="宋体" w:cs="宋体"/>
          <w:sz w:val="24"/>
          <w:szCs w:val="24"/>
          <w:highlight w:val="none"/>
          <w:u w:val="single"/>
        </w:rPr>
        <w:t xml:space="preserve">             </w:t>
      </w:r>
      <w:r>
        <w:rPr>
          <w:rFonts w:hint="eastAsia" w:cs="宋体"/>
          <w:sz w:val="24"/>
          <w:szCs w:val="24"/>
          <w:highlight w:val="none"/>
          <w:u w:val="singl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风险费用的计算方法：</w:t>
      </w:r>
      <w:r>
        <w:rPr>
          <w:rFonts w:hint="eastAsia" w:ascii="宋体" w:hAnsi="宋体" w:cs="宋体"/>
          <w:sz w:val="24"/>
          <w:szCs w:val="24"/>
          <w:highlight w:val="none"/>
          <w:u w:val="single"/>
        </w:rPr>
        <w:t xml:space="preserve">             </w:t>
      </w:r>
      <w:r>
        <w:rPr>
          <w:rFonts w:hint="eastAsia" w:cs="宋体"/>
          <w:sz w:val="24"/>
          <w:szCs w:val="24"/>
          <w:highlight w:val="none"/>
          <w:u w:val="singl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风险范围以外合同价格的调整方法：</w:t>
      </w:r>
      <w:r>
        <w:rPr>
          <w:rFonts w:hint="eastAsia" w:ascii="宋体" w:hAnsi="宋体" w:cs="宋体"/>
          <w:sz w:val="24"/>
          <w:szCs w:val="24"/>
          <w:highlight w:val="none"/>
          <w:u w:val="single"/>
        </w:rPr>
        <w:t xml:space="preserve">   </w:t>
      </w:r>
      <w:r>
        <w:rPr>
          <w:rFonts w:hint="eastAsia" w:cs="宋体"/>
          <w:sz w:val="24"/>
          <w:szCs w:val="24"/>
          <w:highlight w:val="none"/>
          <w:u w:val="singl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3、其他价格方式：</w:t>
      </w:r>
      <w:r>
        <w:rPr>
          <w:rFonts w:hint="eastAsia" w:ascii="宋体" w:hAnsi="宋体" w:cs="宋体"/>
          <w:sz w:val="24"/>
          <w:szCs w:val="24"/>
          <w:highlight w:val="none"/>
          <w:u w:val="single"/>
        </w:rPr>
        <w:t xml:space="preserve">                 </w:t>
      </w:r>
      <w:r>
        <w:rPr>
          <w:rFonts w:hint="eastAsia" w:cs="宋体"/>
          <w:sz w:val="24"/>
          <w:szCs w:val="24"/>
          <w:highlight w:val="none"/>
          <w:u w:val="singl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786" w:name="_Toc303539161"/>
      <w:r>
        <w:rPr>
          <w:highlight w:val="none"/>
        </w:rPr>
      </w:r>
      <w:bookmarkStart w:id="787" w:name="_Toc30497"/>
      <w:r>
        <w:rPr>
          <w:highlight w:val="none"/>
        </w:rPr>
      </w:r>
      <w:bookmarkStart w:id="788" w:name="_Toc297123554"/>
      <w:r>
        <w:rPr>
          <w:highlight w:val="none"/>
        </w:rPr>
      </w:r>
      <w:bookmarkStart w:id="789" w:name="_Toc300935004"/>
      <w:r>
        <w:rPr>
          <w:highlight w:val="none"/>
        </w:rPr>
      </w:r>
      <w:bookmarkStart w:id="790" w:name="_Toc297216213"/>
      <w:r>
        <w:rPr>
          <w:highlight w:val="none"/>
        </w:rPr>
      </w:r>
      <w:bookmarkStart w:id="791" w:name="_Toc312678042"/>
      <w:r>
        <w:rPr>
          <w:highlight w:val="none"/>
        </w:rPr>
      </w:r>
      <w:bookmarkStart w:id="792" w:name="_Toc304295581"/>
      <w:r>
        <w:rPr>
          <w:rFonts w:hint="eastAsia" w:ascii="宋体" w:hAnsi="宋体" w:cs="宋体"/>
          <w:sz w:val="24"/>
          <w:szCs w:val="24"/>
          <w:highlight w:val="none"/>
        </w:rPr>
        <w:t xml:space="preserve">12.2 预付款</w:t>
      </w:r>
      <w:bookmarkEnd w:id="786"/>
      <w:r>
        <w:rPr>
          <w:highlight w:val="none"/>
        </w:rPr>
      </w:r>
      <w:bookmarkEnd w:id="787"/>
      <w:r>
        <w:rPr>
          <w:highlight w:val="none"/>
        </w:rPr>
      </w:r>
      <w:bookmarkEnd w:id="788"/>
      <w:r>
        <w:rPr>
          <w:highlight w:val="none"/>
        </w:rPr>
      </w:r>
      <w:bookmarkEnd w:id="789"/>
      <w:r>
        <w:rPr>
          <w:highlight w:val="none"/>
        </w:rPr>
      </w:r>
      <w:bookmarkEnd w:id="790"/>
      <w:r>
        <w:rPr>
          <w:highlight w:val="none"/>
        </w:rPr>
      </w:r>
      <w:bookmarkEnd w:id="791"/>
      <w:r>
        <w:rPr>
          <w:highlight w:val="none"/>
        </w:rPr>
      </w:r>
      <w:bookmarkEnd w:id="792"/>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12.2.1 预付款的支付</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预付款支付比例或金额：</w:t>
      </w:r>
      <w:r>
        <w:rPr>
          <w:rFonts w:hint="eastAsia" w:ascii="宋体" w:hAnsi="宋体" w:cs="宋体"/>
          <w:sz w:val="24"/>
          <w:szCs w:val="24"/>
          <w:highlight w:val="none"/>
          <w:u w:val="single"/>
        </w:rPr>
        <w:t xml:space="preserve">/          </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预付款支付期限：</w:t>
      </w:r>
      <w:r>
        <w:rPr>
          <w:rFonts w:hint="eastAsia" w:ascii="宋体" w:hAnsi="宋体" w:cs="宋体"/>
          <w:sz w:val="24"/>
          <w:szCs w:val="24"/>
          <w:highlight w:val="none"/>
          <w:u w:val="single"/>
        </w:rPr>
        <w:t xml:space="preserve">/ </w:t>
      </w:r>
      <w:r>
        <w:rPr>
          <w:highlight w:val="none"/>
        </w:rPr>
      </w:r>
      <w:r/>
    </w:p>
    <w:p>
      <w:pPr>
        <w:ind w:firstLine="480"/>
        <w:jc w:val="left"/>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预付款扣回的方式：</w:t>
      </w:r>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12.2.2 预付款担保</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承包人提交预付款担保的期限：</w:t>
      </w:r>
      <w:bookmarkStart w:id="793" w:name="EBf4bb81ae6d4247aa893872808d17ee64"/>
      <w:r>
        <w:rPr>
          <w:highlight w:val="none"/>
        </w:rPr>
      </w:r>
      <w:bookmarkEnd w:id="793"/>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预付款担保的形式为：</w:t>
      </w:r>
      <w:bookmarkStart w:id="794" w:name="EB16aa7b8798734e8e97f312d6fcc108f4"/>
      <w:r>
        <w:rPr>
          <w:highlight w:val="none"/>
        </w:rPr>
      </w:r>
      <w:bookmarkEnd w:id="794"/>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795" w:name="_Toc8802"/>
      <w:r>
        <w:rPr>
          <w:rFonts w:hint="eastAsia" w:ascii="宋体" w:hAnsi="宋体" w:cs="宋体"/>
          <w:sz w:val="24"/>
          <w:szCs w:val="24"/>
          <w:highlight w:val="none"/>
        </w:rPr>
        <w:t xml:space="preserve">12.3 计量</w:t>
      </w:r>
      <w:bookmarkEnd w:id="795"/>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12.3.1 计量原则</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工程量计算规则：</w:t>
      </w:r>
      <w:bookmarkStart w:id="796" w:name="EBd27266b647334dd28f4a53afbac436ff"/>
      <w:r>
        <w:rPr>
          <w:rFonts w:hint="eastAsia" w:ascii="宋体" w:hAnsi="宋体" w:cs="宋体"/>
          <w:sz w:val="24"/>
          <w:szCs w:val="24"/>
          <w:highlight w:val="none"/>
          <w:u w:val="single"/>
        </w:rPr>
        <w:t xml:space="preserve">执行通用条款</w:t>
      </w:r>
      <w:bookmarkEnd w:id="796"/>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12.3.2 计量周期</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关于计量周期的约定；</w:t>
      </w:r>
      <w:r>
        <w:rPr>
          <w:highlight w:val="none"/>
        </w:rPr>
      </w:r>
      <w:r/>
    </w:p>
    <w:p>
      <w:pPr>
        <w:ind w:firstLine="480"/>
        <w:spacing w:line="300" w:lineRule="exact"/>
        <w:rPr>
          <w:rFonts w:hint="eastAsia" w:ascii="宋体" w:hAnsi="宋体" w:cs="宋体"/>
          <w:sz w:val="24"/>
          <w:szCs w:val="24"/>
          <w:highlight w:val="none"/>
          <w:u w:val="single"/>
        </w:rPr>
      </w:pPr>
      <w:r>
        <w:rPr>
          <w:highlight w:val="none"/>
        </w:rPr>
      </w:r>
      <w:bookmarkStart w:id="797" w:name="EB59f54a05a2e74f3da059aa25dd8a5b29"/>
      <w:r>
        <w:rPr>
          <w:rFonts w:hint="eastAsia" w:ascii="宋体" w:hAnsi="宋体" w:cs="宋体"/>
          <w:sz w:val="24"/>
          <w:szCs w:val="24"/>
          <w:highlight w:val="none"/>
          <w:u w:val="single"/>
        </w:rPr>
        <w:t xml:space="preserve">执行通用条款，按月进行</w:t>
      </w:r>
      <w:bookmarkEnd w:id="797"/>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12.3.3 单价合同的计量</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关于单价合同计量的约定：</w:t>
      </w:r>
      <w:r>
        <w:rPr>
          <w:highlight w:val="none"/>
        </w:rPr>
      </w:r>
      <w:r/>
    </w:p>
    <w:p>
      <w:pPr>
        <w:ind w:firstLine="480"/>
        <w:spacing w:line="300" w:lineRule="exact"/>
        <w:rPr>
          <w:rFonts w:hint="eastAsia" w:ascii="宋体" w:hAnsi="宋体" w:cs="宋体"/>
          <w:sz w:val="24"/>
          <w:szCs w:val="24"/>
          <w:highlight w:val="none"/>
          <w:u w:val="single"/>
        </w:rPr>
      </w:pPr>
      <w:r>
        <w:rPr>
          <w:highlight w:val="none"/>
        </w:rPr>
      </w:r>
      <w:bookmarkStart w:id="798" w:name="EB6ebecd0f24824d49a0137f734a488f80"/>
      <w:r>
        <w:rPr>
          <w:rFonts w:hint="eastAsia" w:ascii="宋体" w:hAnsi="宋体" w:cs="宋体"/>
          <w:sz w:val="24"/>
          <w:szCs w:val="24"/>
          <w:highlight w:val="none"/>
          <w:u w:val="single"/>
        </w:rPr>
        <w:t xml:space="preserve">执行通用条款</w:t>
      </w:r>
      <w:bookmarkEnd w:id="798"/>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12.3.4 总价合同的计量</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关于总价合同计量的约定：</w:t>
      </w:r>
      <w:bookmarkStart w:id="799" w:name="EBe714171bb71043389718b03e114470e1"/>
      <w:r>
        <w:rPr>
          <w:highlight w:val="none"/>
        </w:rPr>
      </w:r>
      <w:bookmarkEnd w:id="799"/>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12.3.5总价合同采用支付分解表计量支付的，是否适用第12.3.4 项〔总价合同的计量〕约定进行计量：</w:t>
      </w:r>
      <w:bookmarkStart w:id="800" w:name="EB64295323eb3041e596ee4c5393942cf9"/>
      <w:r>
        <w:rPr>
          <w:highlight w:val="none"/>
        </w:rPr>
      </w:r>
      <w:bookmarkEnd w:id="800"/>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12.3.6 其他价格形式合同的计量</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其他价格形式的计量方式和程序：</w:t>
      </w:r>
      <w:bookmarkStart w:id="801" w:name="EBc25bc19eb47a49e398ccaa76dc6ca5c9"/>
      <w:r>
        <w:rPr>
          <w:highlight w:val="none"/>
        </w:rPr>
      </w:r>
      <w:bookmarkEnd w:id="801"/>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02" w:name="_Toc7654"/>
      <w:r>
        <w:rPr>
          <w:rFonts w:hint="eastAsia" w:ascii="宋体" w:hAnsi="宋体" w:cs="宋体"/>
          <w:sz w:val="24"/>
          <w:szCs w:val="24"/>
          <w:highlight w:val="none"/>
        </w:rPr>
        <w:t xml:space="preserve">12.4 工程进度款支付</w:t>
      </w:r>
      <w:bookmarkEnd w:id="802"/>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12.4.1 付款周期</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关于付款周期的约定：</w:t>
      </w:r>
      <w:r>
        <w:rPr>
          <w:highlight w:val="none"/>
        </w:rPr>
      </w:r>
      <w:r/>
    </w:p>
    <w:p>
      <w:pPr>
        <w:ind w:firstLine="480"/>
        <w:spacing w:line="300" w:lineRule="exact"/>
        <w:rPr>
          <w:rFonts w:hint="default" w:ascii="宋体" w:hAnsi="宋体" w:eastAsia="宋体" w:cs="宋体"/>
          <w:sz w:val="24"/>
          <w:szCs w:val="24"/>
          <w:highlight w:val="none"/>
          <w:u w:val="single"/>
        </w:rPr>
      </w:pPr>
      <w:r>
        <w:rPr>
          <w:rFonts w:hint="eastAsia" w:ascii="宋体" w:hAnsi="宋体" w:cs="宋体"/>
          <w:sz w:val="24"/>
          <w:szCs w:val="24"/>
          <w:highlight w:val="none"/>
          <w:u w:val="single"/>
        </w:rPr>
        <w:t xml:space="preserve">付款方式</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工程施工结束支付合同总价的40%，验收合格销号后累计支付至合同总价的70%，工程审计结束后累计支付至审定价的90%，验收合格销号后满2年一次性付清。</w:t>
      </w:r>
      <w:r>
        <w:rPr>
          <w:highlight w:val="none"/>
        </w:rPr>
      </w:r>
      <w:r/>
    </w:p>
    <w:p>
      <w:pPr>
        <w:ind w:firstLine="480"/>
        <w:spacing w:line="300" w:lineRule="exact"/>
        <w:rPr>
          <w:rFonts w:hint="eastAsia" w:ascii="宋体" w:hAnsi="宋体" w:cs="宋体"/>
          <w:sz w:val="24"/>
          <w:szCs w:val="24"/>
          <w:highlight w:val="none"/>
          <w:u w:val="single"/>
        </w:rPr>
      </w:pPr>
      <w:r>
        <w:rPr>
          <w:highlight w:val="none"/>
        </w:rPr>
      </w:r>
      <w:bookmarkStart w:id="803" w:name="_Toc29376"/>
      <w:r>
        <w:rPr>
          <w:rFonts w:hint="eastAsia" w:ascii="宋体" w:hAnsi="宋体" w:cs="宋体"/>
          <w:sz w:val="24"/>
          <w:szCs w:val="24"/>
          <w:highlight w:val="none"/>
          <w:u w:val="single"/>
        </w:rPr>
        <w:t xml:space="preserve">达到支付条件后，中标人需在采购人办理付款手续前15个工作日内，提供等额的正式发票给采购人，以便采购人办理付款手续。</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本合同价款的支付均以采购人已收到相应数额的符合采购人要求的发票为前提。</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根据本合同规定，中标人应当支付费用、质保金、违约金、承担赔偿责任，采购人有权从上述付款中直接扣除相应金额。</w:t>
      </w:r>
      <w:r>
        <w:rPr>
          <w:highlight w:val="none"/>
        </w:rPr>
      </w:r>
      <w:r/>
    </w:p>
    <w:p>
      <w:pPr>
        <w:ind w:firstLine="480"/>
        <w:spacing w:line="300" w:lineRule="exact"/>
        <w:rPr>
          <w:rFonts w:hint="eastAsia" w:ascii="宋体" w:hAnsi="宋体" w:cs="宋体"/>
          <w:sz w:val="24"/>
          <w:szCs w:val="24"/>
          <w:highlight w:val="none"/>
        </w:rPr>
        <w:outlineLvl w:val="2"/>
      </w:pPr>
      <w:r>
        <w:rPr>
          <w:rFonts w:hint="eastAsia" w:ascii="宋体" w:hAnsi="宋体" w:cs="宋体"/>
          <w:sz w:val="24"/>
          <w:szCs w:val="24"/>
          <w:highlight w:val="none"/>
        </w:rPr>
        <w:t xml:space="preserve">12.4.2 进度付款申请单的编制</w:t>
      </w:r>
      <w:bookmarkEnd w:id="803"/>
      <w:r>
        <w:rPr>
          <w:highlight w:val="none"/>
        </w:rPr>
      </w:r>
      <w:r/>
    </w:p>
    <w:p>
      <w:pPr>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关于进度付款申请单编制的约定：</w:t>
      </w:r>
      <w:bookmarkStart w:id="804" w:name="EB2e13f3265b0b4842955db15bf2abe2f9"/>
      <w:r>
        <w:rPr>
          <w:rFonts w:hint="eastAsia" w:ascii="宋体" w:hAnsi="宋体" w:cs="宋体"/>
          <w:sz w:val="24"/>
          <w:szCs w:val="24"/>
          <w:highlight w:val="none"/>
          <w:u w:val="single"/>
        </w:rPr>
        <w:t xml:space="preserve">执行通用条款</w:t>
      </w:r>
      <w:bookmarkEnd w:id="804"/>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05" w:name="_Toc29307"/>
      <w:r>
        <w:rPr>
          <w:rFonts w:hint="eastAsia" w:ascii="宋体" w:hAnsi="宋体" w:cs="宋体"/>
          <w:sz w:val="24"/>
          <w:szCs w:val="24"/>
          <w:highlight w:val="none"/>
        </w:rPr>
        <w:t xml:space="preserve">12.4.3 进度付款申请单的提交</w:t>
      </w:r>
      <w:bookmarkEnd w:id="805"/>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（1）单价合同进度付款申请单提交的约定：</w:t>
      </w:r>
      <w:bookmarkStart w:id="806" w:name="EB837e0057ebf04abe8c8453d50be614de"/>
      <w:r>
        <w:rPr>
          <w:rFonts w:hint="eastAsia" w:ascii="宋体" w:hAnsi="宋体" w:cs="宋体"/>
          <w:sz w:val="24"/>
          <w:szCs w:val="24"/>
          <w:highlight w:val="none"/>
          <w:u w:val="single"/>
        </w:rPr>
        <w:t xml:space="preserve">执行通用条款</w:t>
      </w:r>
      <w:bookmarkEnd w:id="806"/>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（2）总价合同进度付款申请单提交的约定：</w:t>
      </w:r>
      <w:bookmarkStart w:id="807" w:name="EBb8a7e2b3607c40d19d5e8742a9e8a590"/>
      <w:r>
        <w:rPr>
          <w:highlight w:val="none"/>
        </w:rPr>
      </w:r>
      <w:bookmarkEnd w:id="807"/>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（3）其他价格形式合同进度付款申请单提交的约定：</w:t>
      </w:r>
      <w:bookmarkStart w:id="808" w:name="EB8c5b60e92c32402c836aaf3d9d1bfc2a"/>
      <w:r>
        <w:rPr>
          <w:highlight w:val="none"/>
        </w:rPr>
      </w:r>
      <w:bookmarkEnd w:id="808"/>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09" w:name="_Toc16889"/>
      <w:r>
        <w:rPr>
          <w:rFonts w:hint="eastAsia" w:ascii="宋体" w:hAnsi="宋体" w:cs="宋体"/>
          <w:sz w:val="24"/>
          <w:szCs w:val="24"/>
          <w:highlight w:val="none"/>
        </w:rPr>
        <w:t xml:space="preserve">12.4.4 进度款审核和支付</w:t>
      </w:r>
      <w:bookmarkEnd w:id="809"/>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（1）监理人审查并报送发包人的期限：</w:t>
      </w:r>
      <w:bookmarkStart w:id="810" w:name="EB7883780a1cc74d5b91d12a5f0883b3b9"/>
      <w:r>
        <w:rPr>
          <w:rFonts w:hint="eastAsia" w:ascii="宋体" w:hAnsi="宋体" w:cs="宋体"/>
          <w:sz w:val="24"/>
          <w:szCs w:val="24"/>
          <w:highlight w:val="none"/>
          <w:u w:val="single"/>
        </w:rPr>
        <w:t xml:space="preserve">收到承包人进度付款申请单以及相关资料后 7 天内</w:t>
      </w:r>
      <w:bookmarkEnd w:id="810"/>
      <w:r>
        <w:rPr>
          <w:rFonts w:hint="eastAsia" w:ascii="宋体" w:hAnsi="宋体" w:cs="宋体"/>
          <w:sz w:val="24"/>
          <w:szCs w:val="24"/>
          <w:highlight w:val="none"/>
          <w:u w:val="single"/>
        </w:rPr>
        <w:t xml:space="preserve">。</w:t>
      </w:r>
      <w:r>
        <w:rPr>
          <w:highlight w:val="none"/>
        </w:rPr>
      </w:r>
      <w:r/>
    </w:p>
    <w:p>
      <w:pPr>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发包人完成审批并签发进度款支付证书的期限：</w:t>
      </w:r>
      <w:bookmarkStart w:id="811" w:name="EB230db849cb864f589499577b73b230c7"/>
      <w:r>
        <w:rPr>
          <w:rFonts w:hint="eastAsia" w:ascii="宋体" w:hAnsi="宋体" w:cs="宋体"/>
          <w:sz w:val="24"/>
          <w:szCs w:val="24"/>
          <w:highlight w:val="none"/>
          <w:u w:val="single"/>
        </w:rPr>
        <w:t xml:space="preserve">收到监理人报送的进度付款申请单及相关资料后 7天内完成审批并签发进度款支付证书</w:t>
      </w:r>
      <w:bookmarkEnd w:id="811"/>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（2）发包人支付进度款的期限：</w:t>
      </w:r>
      <w:bookmarkStart w:id="812" w:name="EBb43ff779f80f4b999b79b1f09c3abd66"/>
      <w:r>
        <w:rPr>
          <w:rFonts w:hint="eastAsia" w:ascii="宋体" w:hAnsi="宋体" w:cs="宋体"/>
          <w:sz w:val="24"/>
          <w:szCs w:val="24"/>
          <w:highlight w:val="none"/>
          <w:u w:val="single"/>
        </w:rPr>
        <w:t xml:space="preserve">在进度款支付证书或临时进度款支付证书签发后 14 天内完成支付</w:t>
      </w:r>
      <w:bookmarkEnd w:id="812"/>
      <w:r>
        <w:rPr>
          <w:rFonts w:hint="eastAsia" w:ascii="宋体" w:hAnsi="宋体" w:cs="宋体"/>
          <w:sz w:val="24"/>
          <w:szCs w:val="24"/>
          <w:highlight w:val="none"/>
          <w:u w:val="single"/>
        </w:rPr>
        <w:t xml:space="preserve">。</w:t>
      </w:r>
      <w:r>
        <w:rPr>
          <w:highlight w:val="none"/>
        </w:rPr>
      </w:r>
      <w:r/>
    </w:p>
    <w:p>
      <w:pPr>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发包人逾期支付进度款的违约金的计算方式：</w:t>
      </w:r>
      <w:bookmarkStart w:id="813" w:name="EB098a1e693f314e6e8a6f2766509be778"/>
      <w:r>
        <w:rPr>
          <w:rFonts w:hint="eastAsia" w:ascii="宋体" w:hAnsi="宋体" w:cs="宋体"/>
          <w:sz w:val="24"/>
          <w:szCs w:val="24"/>
          <w:highlight w:val="none"/>
          <w:u w:val="single"/>
        </w:rPr>
        <w:t xml:space="preserve">发包人逾期支付进度款的， 应按照中国人民银行发布的同期同类贷款基准利率支付违约金</w:t>
      </w:r>
      <w:bookmarkEnd w:id="813"/>
      <w:r>
        <w:rPr>
          <w:rFonts w:hint="eastAsia" w:ascii="宋体" w:hAnsi="宋体" w:cs="宋体"/>
          <w:sz w:val="24"/>
          <w:szCs w:val="24"/>
          <w:highlight w:val="none"/>
          <w:u w:val="single"/>
        </w:rPr>
        <w:t xml:space="preserve">。</w:t>
      </w:r>
      <w:r>
        <w:rPr>
          <w:highlight w:val="none"/>
        </w:rPr>
      </w:r>
      <w:r/>
    </w:p>
    <w:p>
      <w:pPr>
        <w:ind w:firstLine="600"/>
        <w:spacing w:line="300" w:lineRule="exact"/>
        <w:rPr>
          <w:rFonts w:hint="eastAsia" w:ascii="宋体" w:hAnsi="宋体" w:cs="宋体"/>
          <w:sz w:val="24"/>
          <w:szCs w:val="24"/>
          <w:highlight w:val="none"/>
        </w:rPr>
        <w:outlineLvl w:val="2"/>
      </w:pPr>
      <w:r>
        <w:rPr>
          <w:highlight w:val="none"/>
        </w:rPr>
      </w:r>
      <w:bookmarkStart w:id="814" w:name="_Toc10081"/>
      <w:r>
        <w:rPr>
          <w:rFonts w:hint="eastAsia" w:ascii="宋体" w:hAnsi="宋体" w:cs="宋体"/>
          <w:sz w:val="24"/>
          <w:szCs w:val="24"/>
          <w:highlight w:val="none"/>
        </w:rPr>
        <w:t xml:space="preserve">12.4.6 支付分解表的编制</w:t>
      </w:r>
      <w:bookmarkEnd w:id="814"/>
      <w:r>
        <w:rPr>
          <w:highlight w:val="none"/>
        </w:rPr>
      </w:r>
      <w:r/>
    </w:p>
    <w:p>
      <w:pPr>
        <w:ind w:left="4200" w:hanging="480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2、总价合同支付分解表的编制与审批：</w:t>
      </w:r>
      <w:bookmarkStart w:id="815" w:name="EB61b302f59b77461d96a504b72bf55c9f"/>
      <w:r>
        <w:rPr>
          <w:rFonts w:hint="eastAsia" w:ascii="宋体" w:hAnsi="宋体" w:cs="宋体"/>
          <w:sz w:val="24"/>
          <w:szCs w:val="24"/>
          <w:highlight w:val="none"/>
        </w:rPr>
        <w:t xml:space="preserve">执行通用条款</w:t>
      </w:r>
      <w:bookmarkEnd w:id="815"/>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3、单价合同的总价项目支付分解表的编制与审批：</w:t>
      </w:r>
      <w:bookmarkStart w:id="816" w:name="EB03cb45d60b2949c68096f515a4d80a28"/>
      <w:r>
        <w:rPr>
          <w:highlight w:val="none"/>
        </w:rPr>
      </w:r>
      <w:bookmarkEnd w:id="816"/>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13. 验收和工程试车</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13.1 分部分项工程验收</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13.1.2监理人不能按时进行验收时，应提前</w:t>
      </w:r>
      <w:bookmarkStart w:id="817" w:name="EBb95ad652d9144b9781840d24af19b278"/>
      <w:r>
        <w:rPr>
          <w:rFonts w:hint="eastAsia" w:ascii="宋体" w:hAnsi="宋体" w:cs="宋体"/>
          <w:sz w:val="24"/>
          <w:szCs w:val="24"/>
          <w:highlight w:val="none"/>
        </w:rPr>
        <w:t xml:space="preserve">24</w:t>
      </w:r>
      <w:bookmarkEnd w:id="817"/>
      <w:r>
        <w:rPr>
          <w:rFonts w:hint="eastAsia" w:ascii="宋体" w:hAnsi="宋体" w:cs="宋体"/>
          <w:sz w:val="24"/>
          <w:szCs w:val="24"/>
          <w:highlight w:val="none"/>
        </w:rPr>
        <w:t xml:space="preserve">小时提交书面延期要求。</w:t>
      </w:r>
      <w:r>
        <w:rPr>
          <w:highlight w:val="none"/>
        </w:rPr>
      </w:r>
      <w:r/>
    </w:p>
    <w:p>
      <w:pPr>
        <w:ind w:firstLine="480"/>
        <w:spacing w:line="300" w:lineRule="exact"/>
        <w:rPr>
          <w:rFonts w:hint="eastAsia" w:ascii="宋体" w:hAnsi="宋体" w:cs="宋体"/>
          <w:b/>
          <w:sz w:val="24"/>
          <w:szCs w:val="24"/>
          <w:highlight w:val="none"/>
        </w:rPr>
      </w:pPr>
      <w:r>
        <w:rPr>
          <w:rFonts w:hint="eastAsia" w:ascii="宋体" w:hAnsi="宋体" w:cs="宋体"/>
          <w:sz w:val="24"/>
          <w:szCs w:val="24"/>
          <w:highlight w:val="none"/>
        </w:rPr>
        <w:t xml:space="preserve">关于延期最长不得超过：</w:t>
      </w:r>
      <w:bookmarkStart w:id="818" w:name="EB3c3cba56bd2f423581ca371ef7556ca0"/>
      <w:r>
        <w:rPr>
          <w:rFonts w:hint="eastAsia" w:ascii="宋体" w:hAnsi="宋体" w:cs="宋体"/>
          <w:sz w:val="24"/>
          <w:szCs w:val="24"/>
          <w:highlight w:val="none"/>
        </w:rPr>
        <w:t xml:space="preserve">48</w:t>
      </w:r>
      <w:bookmarkEnd w:id="818"/>
      <w:r>
        <w:rPr>
          <w:rFonts w:hint="eastAsia" w:ascii="宋体" w:hAnsi="宋体" w:cs="宋体"/>
          <w:sz w:val="24"/>
          <w:szCs w:val="24"/>
          <w:highlight w:val="none"/>
        </w:rPr>
        <w:t xml:space="preserve">小时。</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13.2 竣工验收</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19" w:name="_Toc31666"/>
      <w:r>
        <w:rPr>
          <w:rFonts w:hint="eastAsia" w:ascii="宋体" w:hAnsi="宋体" w:cs="宋体"/>
          <w:sz w:val="24"/>
          <w:szCs w:val="24"/>
          <w:highlight w:val="none"/>
        </w:rPr>
        <w:t xml:space="preserve">13.2.2竣工验收程序</w:t>
      </w:r>
      <w:bookmarkEnd w:id="819"/>
      <w:r>
        <w:rPr>
          <w:highlight w:val="none"/>
        </w:rPr>
      </w:r>
      <w:r/>
    </w:p>
    <w:p>
      <w:pPr>
        <w:ind w:left="4740" w:hanging="432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关于竣工验收程序的约定：</w:t>
      </w:r>
      <w:bookmarkStart w:id="820" w:name="EB7edad710c2a748c6b4d20f99404ab18f"/>
      <w:r>
        <w:rPr>
          <w:rFonts w:hint="eastAsia" w:ascii="宋体" w:hAnsi="宋体" w:cs="宋体"/>
          <w:sz w:val="24"/>
          <w:szCs w:val="24"/>
          <w:highlight w:val="none"/>
          <w:u w:val="single"/>
        </w:rPr>
        <w:t xml:space="preserve">执行通用条款</w:t>
      </w:r>
      <w:bookmarkEnd w:id="820"/>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发包人不按照本项约定组织竣工验收、颁发工程接收证书的违约金的计算方法：</w:t>
      </w:r>
      <w:bookmarkStart w:id="821" w:name="EB847b0217f64c43869b1fca600b6d0a98"/>
      <w:r>
        <w:rPr>
          <w:rFonts w:hint="eastAsia" w:ascii="宋体" w:hAnsi="宋体" w:cs="宋体"/>
          <w:sz w:val="24"/>
          <w:szCs w:val="24"/>
          <w:highlight w:val="none"/>
          <w:u w:val="single"/>
        </w:rPr>
        <w:t xml:space="preserve">执行通用条款</w:t>
      </w:r>
      <w:bookmarkEnd w:id="821"/>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22" w:name="_Toc12435"/>
      <w:r>
        <w:rPr>
          <w:rFonts w:hint="eastAsia" w:ascii="宋体" w:hAnsi="宋体" w:cs="宋体"/>
          <w:sz w:val="24"/>
          <w:szCs w:val="24"/>
          <w:highlight w:val="none"/>
        </w:rPr>
        <w:t xml:space="preserve">13.2.5移交、接收全部与部分工程</w:t>
      </w:r>
      <w:bookmarkEnd w:id="822"/>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承包人向发包人移交工程的期限：</w:t>
      </w:r>
      <w:bookmarkStart w:id="823" w:name="EBd001e50a91824b4ca0cb44f5758fcb6c"/>
      <w:r>
        <w:rPr>
          <w:rFonts w:hint="eastAsia" w:ascii="宋体" w:hAnsi="宋体" w:cs="宋体"/>
          <w:sz w:val="24"/>
          <w:szCs w:val="24"/>
          <w:highlight w:val="none"/>
          <w:u w:val="single"/>
        </w:rPr>
        <w:t xml:space="preserve">合同当事人应当在颁发工程接收证书后 7 天内完成工程的移交</w:t>
      </w:r>
      <w:bookmarkEnd w:id="823"/>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发包人未按本合同约定接收全部或部分工程的，违约金的计算方法为：</w:t>
      </w:r>
      <w:r>
        <w:rPr>
          <w:highlight w:val="none"/>
        </w:rPr>
      </w:r>
      <w:r/>
    </w:p>
    <w:p>
      <w:pPr>
        <w:ind w:firstLine="480"/>
        <w:spacing w:line="300" w:lineRule="exact"/>
        <w:rPr>
          <w:rFonts w:hint="eastAsia" w:ascii="宋体" w:hAnsi="宋体" w:cs="宋体"/>
          <w:sz w:val="24"/>
          <w:szCs w:val="24"/>
          <w:highlight w:val="none"/>
          <w:u w:val="single"/>
        </w:rPr>
      </w:pPr>
      <w:r>
        <w:rPr>
          <w:highlight w:val="none"/>
        </w:rPr>
      </w:r>
      <w:bookmarkStart w:id="824" w:name="EBcd20677fe0ab40acb2d933654ea082af"/>
      <w:r>
        <w:rPr>
          <w:rFonts w:hint="eastAsia" w:ascii="宋体" w:hAnsi="宋体" w:cs="宋体"/>
          <w:sz w:val="24"/>
          <w:szCs w:val="24"/>
          <w:highlight w:val="none"/>
          <w:u w:val="single"/>
        </w:rPr>
        <w:t xml:space="preserve">发包人自应当接收工程之日起，承担工程照管、成品保护、保管等与工程有关的各项费用</w:t>
      </w:r>
      <w:bookmarkEnd w:id="824"/>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承包人未按时移交工程的，违约金的计算方法为：</w:t>
      </w:r>
      <w:r>
        <w:rPr>
          <w:highlight w:val="none"/>
        </w:rPr>
      </w:r>
      <w:r/>
    </w:p>
    <w:p>
      <w:pPr>
        <w:ind w:firstLine="480"/>
        <w:spacing w:line="300" w:lineRule="exact"/>
        <w:rPr>
          <w:rFonts w:hint="eastAsia" w:ascii="宋体" w:hAnsi="宋体" w:cs="宋体"/>
          <w:sz w:val="24"/>
          <w:szCs w:val="24"/>
          <w:highlight w:val="none"/>
          <w:u w:val="single"/>
        </w:rPr>
      </w:pPr>
      <w:r>
        <w:rPr>
          <w:highlight w:val="none"/>
        </w:rPr>
      </w:r>
      <w:bookmarkStart w:id="825" w:name="EB0d2965a3f5ef4d27bf40cdba10c33acb"/>
      <w:r>
        <w:rPr>
          <w:rFonts w:hint="eastAsia" w:ascii="宋体" w:hAnsi="宋体" w:cs="宋体"/>
          <w:sz w:val="24"/>
          <w:szCs w:val="24"/>
          <w:highlight w:val="none"/>
          <w:u w:val="single"/>
        </w:rPr>
        <w:t xml:space="preserve">承包人应承担工程照管、成品保护、保管等与工程有关的各项费用</w:t>
      </w:r>
      <w:bookmarkEnd w:id="825"/>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13.3 工程试车</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26" w:name="_Toc32290"/>
      <w:r>
        <w:rPr>
          <w:rFonts w:hint="eastAsia" w:ascii="宋体" w:hAnsi="宋体" w:cs="宋体"/>
          <w:sz w:val="24"/>
          <w:szCs w:val="24"/>
          <w:highlight w:val="none"/>
        </w:rPr>
        <w:t xml:space="preserve">13.3.1 试车程序</w:t>
      </w:r>
      <w:bookmarkEnd w:id="826"/>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工程试车内容：</w:t>
      </w:r>
      <w:bookmarkStart w:id="827" w:name="EB0f0fd06d4d82435bb1c4524a22e179c5"/>
      <w:r>
        <w:rPr>
          <w:rFonts w:hint="eastAsia" w:ascii="宋体" w:hAnsi="宋体" w:cs="宋体"/>
          <w:sz w:val="24"/>
          <w:szCs w:val="24"/>
          <w:highlight w:val="none"/>
          <w:u w:val="single"/>
        </w:rPr>
        <w:t xml:space="preserve">根据通用合同条款约定执行</w:t>
      </w:r>
      <w:bookmarkEnd w:id="827"/>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（1）单机无负荷试车费用由</w:t>
      </w:r>
      <w:bookmarkStart w:id="828" w:name="EBbc23ba363bce43cebfcf2990577bc549"/>
      <w:r>
        <w:rPr>
          <w:rFonts w:hint="eastAsia" w:ascii="宋体" w:hAnsi="宋体" w:cs="宋体"/>
          <w:sz w:val="24"/>
          <w:szCs w:val="24"/>
          <w:highlight w:val="none"/>
          <w:u w:val="single"/>
        </w:rPr>
        <w:t xml:space="preserve">根据通用合同条款约定执行</w:t>
      </w:r>
      <w:bookmarkEnd w:id="828"/>
      <w:r>
        <w:rPr>
          <w:rFonts w:hint="eastAsia" w:ascii="宋体" w:hAnsi="宋体" w:cs="宋体"/>
          <w:sz w:val="24"/>
          <w:szCs w:val="24"/>
          <w:highlight w:val="none"/>
        </w:rPr>
        <w:t xml:space="preserve">承担；</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（2）无负荷联动试车费用由</w:t>
      </w:r>
      <w:bookmarkStart w:id="829" w:name="EB1e3f7e61b1b6467d8a525c011923fd1b"/>
      <w:r>
        <w:rPr>
          <w:rFonts w:hint="eastAsia" w:ascii="宋体" w:hAnsi="宋体" w:cs="宋体"/>
          <w:sz w:val="24"/>
          <w:szCs w:val="24"/>
          <w:highlight w:val="none"/>
          <w:u w:val="single"/>
        </w:rPr>
        <w:t xml:space="preserve">根据通用合同条款约定执行</w:t>
      </w:r>
      <w:bookmarkEnd w:id="829"/>
      <w:r>
        <w:rPr>
          <w:rFonts w:hint="eastAsia" w:ascii="宋体" w:hAnsi="宋体" w:cs="宋体"/>
          <w:sz w:val="24"/>
          <w:szCs w:val="24"/>
          <w:highlight w:val="none"/>
        </w:rPr>
        <w:t xml:space="preserve">承担。</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30" w:name="_Toc3023"/>
      <w:r>
        <w:rPr>
          <w:rFonts w:hint="eastAsia" w:ascii="宋体" w:hAnsi="宋体" w:cs="宋体"/>
          <w:sz w:val="24"/>
          <w:szCs w:val="24"/>
          <w:highlight w:val="none"/>
        </w:rPr>
        <w:t xml:space="preserve">13.3.3 投料试车</w:t>
      </w:r>
      <w:bookmarkEnd w:id="830"/>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关于投料试车相关事项的约定：</w:t>
      </w:r>
      <w:bookmarkStart w:id="831" w:name="EBa5117a954e144ce790e12865129cbc07"/>
      <w:r>
        <w:rPr>
          <w:rFonts w:hint="eastAsia" w:ascii="宋体" w:hAnsi="宋体" w:cs="宋体"/>
          <w:sz w:val="24"/>
          <w:szCs w:val="24"/>
          <w:highlight w:val="none"/>
          <w:u w:val="single"/>
        </w:rPr>
        <w:t xml:space="preserve">根据通用合同条款约定执行</w:t>
      </w:r>
      <w:bookmarkEnd w:id="831"/>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13.6 竣工退场</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32" w:name="_Toc3817"/>
      <w:r>
        <w:rPr>
          <w:rFonts w:hint="eastAsia" w:ascii="宋体" w:hAnsi="宋体" w:cs="宋体"/>
          <w:sz w:val="24"/>
          <w:szCs w:val="24"/>
          <w:highlight w:val="none"/>
        </w:rPr>
        <w:t xml:space="preserve">13.6.1 竣工退场</w:t>
      </w:r>
      <w:bookmarkEnd w:id="832"/>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承包人完成竣工退场的期限：</w:t>
      </w:r>
      <w:bookmarkStart w:id="833" w:name="EB672ef2e8108946dea38d00a6dca869bc"/>
      <w:r>
        <w:rPr>
          <w:rFonts w:hint="eastAsia" w:ascii="宋体" w:hAnsi="宋体" w:cs="宋体"/>
          <w:sz w:val="24"/>
          <w:szCs w:val="24"/>
          <w:highlight w:val="none"/>
          <w:u w:val="single"/>
        </w:rPr>
        <w:t xml:space="preserve">工程竣工验收合格后 7 天内</w:t>
      </w:r>
      <w:bookmarkEnd w:id="833"/>
      <w:r>
        <w:rPr>
          <w:rFonts w:hint="eastAsia" w:ascii="宋体" w:hAnsi="宋体" w:cs="宋体"/>
          <w:sz w:val="24"/>
          <w:szCs w:val="24"/>
          <w:highlight w:val="none"/>
          <w:u w:val="single"/>
        </w:rPr>
        <w:t xml:space="preserve">。</w:t>
      </w:r>
      <w:r>
        <w:rPr>
          <w:highlight w:val="none"/>
        </w:rPr>
      </w:r>
      <w:r/>
    </w:p>
    <w:p>
      <w:pPr>
        <w:spacing w:line="300" w:lineRule="exact"/>
        <w:rPr>
          <w:rFonts w:hint="eastAsia" w:ascii="宋体" w:hAnsi="宋体" w:cs="宋体"/>
          <w:sz w:val="24"/>
          <w:szCs w:val="24"/>
          <w:highlight w:val="none"/>
        </w:rPr>
        <w:outlineLvl w:val="1"/>
      </w:pPr>
      <w:r>
        <w:rPr>
          <w:highlight w:val="none"/>
        </w:rPr>
      </w:r>
      <w:bookmarkStart w:id="834" w:name="_Toc5031"/>
      <w:r>
        <w:rPr>
          <w:rFonts w:hint="eastAsia" w:ascii="宋体" w:hAnsi="宋体" w:cs="宋体"/>
          <w:sz w:val="24"/>
          <w:szCs w:val="24"/>
          <w:highlight w:val="none"/>
        </w:rPr>
        <w:t xml:space="preserve">14. 竣工结算</w:t>
      </w:r>
      <w:bookmarkEnd w:id="834"/>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35" w:name="_Toc25596"/>
      <w:r>
        <w:rPr>
          <w:rFonts w:hint="eastAsia" w:ascii="宋体" w:hAnsi="宋体" w:cs="宋体"/>
          <w:sz w:val="24"/>
          <w:szCs w:val="24"/>
          <w:highlight w:val="none"/>
        </w:rPr>
        <w:t xml:space="preserve">14.1 竣工结算申请</w:t>
      </w:r>
      <w:bookmarkEnd w:id="835"/>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承包人提交竣工结算申请单的期限：</w:t>
      </w:r>
      <w:bookmarkStart w:id="836" w:name="EB0c58981f84394a95948014d2e82b0e17"/>
      <w:r>
        <w:rPr>
          <w:rFonts w:hint="eastAsia" w:ascii="宋体" w:hAnsi="宋体" w:cs="宋体"/>
          <w:sz w:val="24"/>
          <w:szCs w:val="24"/>
          <w:highlight w:val="none"/>
          <w:u w:val="single"/>
        </w:rPr>
        <w:t xml:space="preserve">承包人应在工程竣工验收合格后 28 天内向发包人和监理人提交竣工结算申请单，并提交完整的结算资料</w:t>
      </w:r>
      <w:bookmarkEnd w:id="836"/>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竣工结算申请单应包括的内容：</w:t>
      </w:r>
      <w:r>
        <w:rPr>
          <w:highlight w:val="none"/>
        </w:rPr>
      </w:r>
      <w:r/>
    </w:p>
    <w:p>
      <w:pPr>
        <w:ind w:firstLine="480"/>
        <w:spacing w:line="300" w:lineRule="exact"/>
        <w:rPr>
          <w:rFonts w:hint="eastAsia" w:ascii="宋体" w:hAnsi="宋体" w:cs="宋体"/>
          <w:sz w:val="24"/>
          <w:szCs w:val="24"/>
          <w:highlight w:val="none"/>
          <w:u w:val="single"/>
        </w:rPr>
      </w:pPr>
      <w:r>
        <w:rPr>
          <w:highlight w:val="none"/>
        </w:rPr>
      </w:r>
      <w:bookmarkStart w:id="837" w:name="EBdeae5d3bafa3433bab356ea41937fb84"/>
      <w:r>
        <w:rPr>
          <w:rFonts w:hint="eastAsia" w:ascii="宋体" w:hAnsi="宋体" w:cs="宋体"/>
          <w:sz w:val="24"/>
          <w:szCs w:val="24"/>
          <w:highlight w:val="none"/>
          <w:u w:val="single"/>
        </w:rPr>
        <w:t xml:space="preserve">（1）竣工结算合同价格； （2）发包人已支付承包人的款项； （3）应扣留的质量保证金； （4）发包人应支付承包人的合同价款</w:t>
      </w:r>
      <w:bookmarkEnd w:id="837"/>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38" w:name="_Toc32059"/>
      <w:r>
        <w:rPr>
          <w:rFonts w:hint="eastAsia" w:ascii="宋体" w:hAnsi="宋体" w:cs="宋体"/>
          <w:sz w:val="24"/>
          <w:szCs w:val="24"/>
          <w:highlight w:val="none"/>
        </w:rPr>
        <w:t xml:space="preserve">14.2 竣工结算审核</w:t>
      </w:r>
      <w:bookmarkEnd w:id="838"/>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发包人审批竣工付款申请单的期限：</w:t>
      </w:r>
      <w:bookmarkStart w:id="839" w:name="EBd851ce7bc2564845a05c90f9c84b986e"/>
      <w:r>
        <w:rPr>
          <w:rFonts w:hint="eastAsia" w:ascii="宋体" w:hAnsi="宋体" w:cs="宋体"/>
          <w:sz w:val="24"/>
          <w:szCs w:val="24"/>
          <w:highlight w:val="none"/>
          <w:u w:val="single"/>
        </w:rPr>
        <w:t xml:space="preserve">发包人应在收到监理人提交的经审核的竣工结算申请单后14 天内完成审批</w:t>
      </w:r>
      <w:bookmarkEnd w:id="839"/>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发包人完成竣工付款的期限：</w:t>
      </w:r>
      <w:bookmarkStart w:id="840" w:name="EB37a6fa15dc7642ffbf634f1a258fbe1e"/>
      <w:r>
        <w:rPr>
          <w:rFonts w:hint="eastAsia" w:ascii="宋体" w:hAnsi="宋体" w:cs="宋体"/>
          <w:sz w:val="24"/>
          <w:szCs w:val="24"/>
          <w:highlight w:val="none"/>
          <w:u w:val="single"/>
        </w:rPr>
        <w:t xml:space="preserve">发包人应在签发竣工付款证书后的 14 天内，完成对承包人的竣工付款</w:t>
      </w:r>
      <w:bookmarkEnd w:id="840"/>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关于竣工付款证书异议部分复核的方式和程序：</w:t>
      </w:r>
      <w:r>
        <w:rPr>
          <w:highlight w:val="none"/>
        </w:rPr>
      </w:r>
      <w:r/>
    </w:p>
    <w:p>
      <w:pPr>
        <w:ind w:firstLine="480"/>
        <w:spacing w:line="300" w:lineRule="exact"/>
        <w:rPr>
          <w:rFonts w:hint="eastAsia" w:ascii="宋体" w:hAnsi="宋体" w:cs="宋体"/>
          <w:sz w:val="24"/>
          <w:szCs w:val="24"/>
          <w:highlight w:val="none"/>
          <w:u w:val="single"/>
        </w:rPr>
      </w:pPr>
      <w:r>
        <w:rPr>
          <w:highlight w:val="none"/>
        </w:rPr>
      </w:r>
      <w:bookmarkStart w:id="841" w:name="EBa2b6e3c98ce848c190b6d8a9e21ff206"/>
      <w:r>
        <w:rPr>
          <w:rFonts w:hint="eastAsia" w:ascii="宋体" w:hAnsi="宋体" w:cs="宋体"/>
          <w:sz w:val="24"/>
          <w:szCs w:val="24"/>
          <w:highlight w:val="none"/>
          <w:u w:val="single"/>
        </w:rPr>
        <w:t xml:space="preserve">执行通用条款</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竣工结算方式：结算价=实际发生的工程量×（中标综合单价或以中标综合单价为基础按文件规定可调整后的综合单价或按文件规定重新确定的综合单价） </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竣工结算：工程验收合格后,必须经市政府结算造价审核部门审计后可办理工程结算或竣工决算;工程结算审计核减额超 7%以外部分的审计费用由施工单位方承担</w:t>
      </w:r>
      <w:bookmarkEnd w:id="841"/>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42" w:name="_Toc24821"/>
      <w:r>
        <w:rPr>
          <w:rFonts w:hint="eastAsia" w:ascii="宋体" w:hAnsi="宋体" w:cs="宋体"/>
          <w:sz w:val="24"/>
          <w:szCs w:val="24"/>
          <w:highlight w:val="none"/>
        </w:rPr>
        <w:t xml:space="preserve">14.4 最终结清</w:t>
      </w:r>
      <w:bookmarkEnd w:id="842"/>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14.4.1 最终结清申请单</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承包人提交最终结清申请单的份数：</w:t>
      </w:r>
      <w:bookmarkStart w:id="843" w:name="EB2354e93ba72542c88357937da19659ac"/>
      <w:r>
        <w:rPr>
          <w:rFonts w:hint="eastAsia" w:ascii="宋体" w:hAnsi="宋体" w:cs="宋体"/>
          <w:sz w:val="24"/>
          <w:szCs w:val="24"/>
          <w:highlight w:val="none"/>
          <w:u w:val="single"/>
        </w:rPr>
        <w:t xml:space="preserve">贰份</w:t>
      </w:r>
      <w:bookmarkEnd w:id="843"/>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承包人提交最终结算申请单的期限：</w:t>
      </w:r>
      <w:bookmarkStart w:id="844" w:name="EBbdc87edacd0844f3883ddabcefdd84a0"/>
      <w:r>
        <w:rPr>
          <w:rFonts w:hint="eastAsia" w:ascii="宋体" w:hAnsi="宋体" w:cs="宋体"/>
          <w:sz w:val="24"/>
          <w:szCs w:val="24"/>
          <w:highlight w:val="none"/>
          <w:u w:val="single"/>
        </w:rPr>
        <w:t xml:space="preserve">承包人应在缺陷责任期终止证书颁发后 7 天内， 按专用合同条款约定的份数向发包人提交最终结清申请单，并提供相关证明材料</w:t>
      </w:r>
      <w:bookmarkEnd w:id="844"/>
      <w:r>
        <w:rPr>
          <w:rFonts w:hint="eastAsia" w:ascii="宋体" w:hAnsi="宋体" w:cs="宋体"/>
          <w:sz w:val="24"/>
          <w:szCs w:val="24"/>
          <w:highlight w:val="none"/>
          <w:u w:val="single"/>
        </w:rPr>
        <w:t xml:space="preserve">。 </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14.4.2 最终结清证书和支付</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（1）发包人完成最终结清申请单的审批并颁发最终结清证书的期限：</w:t>
      </w:r>
      <w:bookmarkStart w:id="845" w:name="EBf795222290e34946bb065087308c2e5e"/>
      <w:r>
        <w:rPr>
          <w:rFonts w:hint="eastAsia" w:ascii="宋体" w:hAnsi="宋体" w:cs="宋体"/>
          <w:sz w:val="24"/>
          <w:szCs w:val="24"/>
          <w:highlight w:val="none"/>
          <w:u w:val="single"/>
        </w:rPr>
        <w:t xml:space="preserve">发包人应在收到承包人提交的最终结清申请单后 14 天内完成审批并向承包人颁发最终结清证书</w:t>
      </w:r>
      <w:bookmarkEnd w:id="845"/>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（2）发包人完成支付的期限：</w:t>
      </w:r>
      <w:bookmarkStart w:id="846" w:name="EB4e2b90dfae90407c90a459080633a490"/>
      <w:r>
        <w:rPr>
          <w:rFonts w:hint="eastAsia" w:ascii="宋体" w:hAnsi="宋体" w:cs="宋体"/>
          <w:sz w:val="24"/>
          <w:szCs w:val="24"/>
          <w:highlight w:val="none"/>
          <w:u w:val="single"/>
        </w:rPr>
        <w:t xml:space="preserve">包人应在颁发最终结清证书后 7 天内完成支付</w:t>
      </w:r>
      <w:bookmarkEnd w:id="846"/>
      <w:r>
        <w:rPr>
          <w:rFonts w:hint="eastAsia" w:ascii="宋体" w:hAnsi="宋体" w:cs="宋体"/>
          <w:sz w:val="24"/>
          <w:szCs w:val="24"/>
          <w:highlight w:val="none"/>
          <w:u w:val="single"/>
        </w:rPr>
        <w:t xml:space="preserve">。</w:t>
      </w:r>
      <w:r>
        <w:rPr>
          <w:highlight w:val="none"/>
        </w:rPr>
      </w:r>
      <w:r/>
    </w:p>
    <w:p>
      <w:pPr>
        <w:spacing w:line="300" w:lineRule="exact"/>
        <w:rPr>
          <w:rFonts w:hint="eastAsia" w:ascii="宋体" w:hAnsi="宋体" w:cs="宋体"/>
          <w:sz w:val="24"/>
          <w:szCs w:val="24"/>
          <w:highlight w:val="none"/>
        </w:rPr>
        <w:outlineLvl w:val="1"/>
      </w:pPr>
      <w:r>
        <w:rPr>
          <w:highlight w:val="none"/>
        </w:rPr>
      </w:r>
      <w:bookmarkStart w:id="847" w:name="_Toc31955"/>
      <w:r>
        <w:rPr>
          <w:rFonts w:hint="eastAsia" w:ascii="宋体" w:hAnsi="宋体" w:cs="宋体"/>
          <w:sz w:val="24"/>
          <w:szCs w:val="24"/>
          <w:highlight w:val="none"/>
        </w:rPr>
        <w:t xml:space="preserve">15. 缺陷责任期与保修</w:t>
      </w:r>
      <w:bookmarkEnd w:id="847"/>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48" w:name="_Toc5061"/>
      <w:r>
        <w:rPr>
          <w:rFonts w:hint="eastAsia" w:ascii="宋体" w:hAnsi="宋体" w:cs="宋体"/>
          <w:sz w:val="24"/>
          <w:szCs w:val="24"/>
          <w:highlight w:val="none"/>
        </w:rPr>
        <w:t xml:space="preserve">15.2缺陷责任期</w:t>
      </w:r>
      <w:bookmarkEnd w:id="848"/>
      <w:r>
        <w:rPr>
          <w:highlight w:val="none"/>
        </w:rPr>
      </w:r>
      <w:r/>
    </w:p>
    <w:p>
      <w:pPr>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缺陷责任期的具体期限：</w:t>
      </w:r>
      <w:bookmarkStart w:id="849" w:name="EBb96837922cbc484493f445a4455515e0"/>
      <w:r>
        <w:rPr>
          <w:rFonts w:hint="eastAsia" w:ascii="宋体" w:hAnsi="宋体" w:cs="宋体"/>
          <w:sz w:val="24"/>
          <w:szCs w:val="24"/>
          <w:highlight w:val="none"/>
          <w:u w:val="single"/>
        </w:rPr>
        <w:t xml:space="preserve">最长不超过24个月</w:t>
      </w:r>
      <w:bookmarkEnd w:id="849"/>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50" w:name="_Toc4157"/>
      <w:r>
        <w:rPr>
          <w:rFonts w:hint="eastAsia" w:ascii="宋体" w:hAnsi="宋体" w:cs="宋体"/>
          <w:sz w:val="24"/>
          <w:szCs w:val="24"/>
          <w:highlight w:val="none"/>
        </w:rPr>
        <w:t xml:space="preserve">15.3 质量保证金</w:t>
      </w:r>
      <w:bookmarkEnd w:id="850"/>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关于是否扣留质量保证金的约定：</w:t>
      </w:r>
      <w:bookmarkStart w:id="851" w:name="EBbefcb30ad35b4a5b9c0fc06ee5a19317"/>
      <w:r>
        <w:rPr>
          <w:rFonts w:hint="eastAsia" w:ascii="宋体" w:hAnsi="宋体" w:cs="宋体"/>
          <w:sz w:val="24"/>
          <w:szCs w:val="24"/>
          <w:highlight w:val="none"/>
          <w:u w:val="single"/>
        </w:rPr>
        <w:t xml:space="preserve">工程款总额的 3%</w:t>
      </w:r>
      <w:bookmarkEnd w:id="851"/>
      <w:r>
        <w:rPr>
          <w:rFonts w:hint="eastAsia" w:ascii="宋体" w:hAnsi="宋体" w:cs="宋体"/>
          <w:sz w:val="24"/>
          <w:szCs w:val="24"/>
          <w:highlight w:val="none"/>
        </w:rPr>
        <w:t xml:space="preserve">。在工程项目竣工前，承包人按专用合同条款第3.7条提供履约担保的，发包人不得同时预留工程质量保证金。</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15.3.1 承包人提供质量保证金的方式</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质量保证金采用以下第</w:t>
      </w:r>
      <w:bookmarkStart w:id="852" w:name="EB8f34c043b8ea4f81b5de1615638dd312"/>
      <w:r>
        <w:rPr>
          <w:rFonts w:hint="eastAsia" w:ascii="宋体" w:hAnsi="宋体" w:cs="宋体"/>
          <w:sz w:val="24"/>
          <w:szCs w:val="24"/>
          <w:highlight w:val="none"/>
          <w:u w:val="single"/>
        </w:rPr>
        <w:t xml:space="preserve">（2）</w:t>
      </w:r>
      <w:bookmarkEnd w:id="852"/>
      <w:r>
        <w:rPr>
          <w:rFonts w:hint="eastAsia" w:ascii="宋体" w:hAnsi="宋体" w:cs="宋体"/>
          <w:sz w:val="24"/>
          <w:szCs w:val="24"/>
          <w:highlight w:val="none"/>
        </w:rPr>
        <w:t xml:space="preserve">种方式：</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（1）质量保证金保函，保证金额为：</w:t>
      </w:r>
      <w:bookmarkStart w:id="853" w:name="EBb73b33f7b67641a19987642267911e02"/>
      <w:r>
        <w:rPr>
          <w:highlight w:val="none"/>
        </w:rPr>
      </w:r>
      <w:bookmarkEnd w:id="853"/>
      <w:r>
        <w:rPr>
          <w:rFonts w:hint="eastAsia" w:ascii="宋体" w:hAnsi="宋体" w:cs="宋体"/>
          <w:sz w:val="24"/>
          <w:szCs w:val="24"/>
          <w:highlight w:val="none"/>
        </w:rPr>
        <w:t xml:space="preserve">； </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w:t>
      </w:r>
      <w:bookmarkStart w:id="854" w:name="EBc3e6022b4f7a4ffe8fb4a64a10213b20"/>
      <w:r>
        <w:rPr>
          <w:rFonts w:hint="eastAsia" w:ascii="宋体" w:hAnsi="宋体" w:cs="宋体"/>
          <w:sz w:val="24"/>
          <w:szCs w:val="24"/>
          <w:highlight w:val="none"/>
        </w:rPr>
        <w:t xml:space="preserve">3</w:t>
      </w:r>
      <w:bookmarkEnd w:id="854"/>
      <w:r>
        <w:rPr>
          <w:rFonts w:hint="eastAsia" w:ascii="宋体" w:hAnsi="宋体" w:cs="宋体"/>
          <w:sz w:val="24"/>
          <w:szCs w:val="24"/>
          <w:highlight w:val="none"/>
        </w:rPr>
        <w:t xml:space="preserve">%的工程款；</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（3）其他方式:</w:t>
      </w:r>
      <w:bookmarkStart w:id="855" w:name="EBa6c318d912d74ffc855b8a1ebac9982f"/>
      <w:r>
        <w:rPr>
          <w:highlight w:val="none"/>
        </w:rPr>
      </w:r>
      <w:bookmarkEnd w:id="855"/>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15.3.2 质量保证金的扣留 </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质量保证金的扣留采取以下第</w:t>
      </w:r>
      <w:bookmarkStart w:id="856" w:name="EBc6578a82612747b0b43c70ed831b36b4"/>
      <w:r>
        <w:rPr>
          <w:rFonts w:hint="eastAsia" w:ascii="宋体" w:hAnsi="宋体" w:cs="宋体"/>
          <w:sz w:val="24"/>
          <w:szCs w:val="24"/>
          <w:highlight w:val="none"/>
          <w:u w:val="single"/>
        </w:rPr>
        <w:t xml:space="preserve">（2）</w:t>
      </w:r>
      <w:bookmarkEnd w:id="856"/>
      <w:r>
        <w:rPr>
          <w:rFonts w:hint="eastAsia" w:ascii="宋体" w:hAnsi="宋体" w:cs="宋体"/>
          <w:sz w:val="24"/>
          <w:szCs w:val="24"/>
          <w:highlight w:val="none"/>
        </w:rPr>
        <w:t xml:space="preserve">种方式：</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（1）在支付工程进度款时逐次扣留，在此情形下，质量保证金的计算基数不包括预付款的支付、扣回以及价格调整的金额；</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（2）工程竣工结算时一次性扣留质量保证金；</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（3）其他扣留方式:</w:t>
      </w:r>
      <w:bookmarkStart w:id="857" w:name="EB24579f9accb94eacafb075fdbb379837"/>
      <w:r>
        <w:rPr>
          <w:highlight w:val="none"/>
        </w:rPr>
      </w:r>
      <w:bookmarkEnd w:id="857"/>
      <w:r>
        <w:rPr>
          <w:rFonts w:hint="eastAsia" w:ascii="宋体" w:hAnsi="宋体" w:cs="宋体"/>
          <w:sz w:val="24"/>
          <w:szCs w:val="24"/>
          <w:highlight w:val="none"/>
        </w:rPr>
        <w:t xml:space="preserve">。</w:t>
      </w:r>
      <w:r>
        <w:rPr>
          <w:highlight w:val="none"/>
        </w:rPr>
      </w:r>
      <w:r/>
    </w:p>
    <w:p>
      <w:pPr>
        <w:ind w:firstLine="72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关于质量保证金的补充约定：</w:t>
      </w:r>
      <w:bookmarkStart w:id="858" w:name="EB1089c4acc5664b36acf41aab8fe31cae"/>
      <w:r>
        <w:rPr>
          <w:highlight w:val="none"/>
        </w:rPr>
      </w:r>
      <w:bookmarkEnd w:id="858"/>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59" w:name="_Toc5149"/>
      <w:r>
        <w:rPr>
          <w:rFonts w:hint="eastAsia" w:ascii="宋体" w:hAnsi="宋体" w:cs="宋体"/>
          <w:sz w:val="24"/>
          <w:szCs w:val="24"/>
          <w:highlight w:val="none"/>
        </w:rPr>
        <w:t xml:space="preserve">15.4保修</w:t>
      </w:r>
      <w:bookmarkEnd w:id="859"/>
      <w:r>
        <w:rPr>
          <w:highlight w:val="none"/>
        </w:rPr>
      </w:r>
      <w:r/>
    </w:p>
    <w:p>
      <w:pPr>
        <w:ind w:firstLine="468"/>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15.4.1 保修责任</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工程保修期为</w:t>
      </w:r>
      <w:r>
        <w:rPr>
          <w:rFonts w:hint="eastAsia" w:ascii="宋体" w:hAnsi="宋体" w:cs="宋体"/>
          <w:sz w:val="24"/>
          <w:szCs w:val="24"/>
          <w:highlight w:val="none"/>
          <w:u w:val="single"/>
        </w:rPr>
        <w:t xml:space="preserve">：</w:t>
      </w:r>
      <w:bookmarkStart w:id="860" w:name="EB537dcd20aee34bdb9709c60faf5d32f9"/>
      <w:r>
        <w:rPr>
          <w:rFonts w:hint="eastAsia" w:ascii="宋体" w:hAnsi="宋体" w:cs="宋体"/>
          <w:sz w:val="24"/>
          <w:szCs w:val="24"/>
          <w:highlight w:val="none"/>
          <w:u w:val="single"/>
        </w:rPr>
        <w:t xml:space="preserve">详见附件 2</w:t>
      </w:r>
      <w:bookmarkEnd w:id="860"/>
      <w:r>
        <w:rPr>
          <w:rFonts w:hint="eastAsia" w:ascii="宋体" w:hAnsi="宋体" w:cs="宋体"/>
          <w:sz w:val="24"/>
          <w:szCs w:val="24"/>
          <w:highlight w:val="none"/>
          <w:u w:val="single"/>
        </w:rPr>
        <w:t xml:space="preserve">。</w:t>
      </w:r>
      <w:r>
        <w:rPr>
          <w:highlight w:val="none"/>
        </w:rPr>
      </w:r>
      <w:r/>
    </w:p>
    <w:p>
      <w:pPr>
        <w:ind w:firstLine="468"/>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15.4.3 修复通知</w:t>
      </w:r>
      <w:r>
        <w:rPr>
          <w:highlight w:val="none"/>
        </w:rPr>
      </w:r>
      <w:r/>
    </w:p>
    <w:p>
      <w:pPr>
        <w:spacing w:line="300" w:lineRule="exact"/>
        <w:rPr>
          <w:rFonts w:hint="eastAsia" w:ascii="宋体" w:hAnsi="宋体" w:cs="宋体"/>
          <w:i/>
          <w:iCs/>
          <w:sz w:val="24"/>
          <w:szCs w:val="24"/>
          <w:highlight w:val="none"/>
        </w:rPr>
      </w:pPr>
      <w:r>
        <w:rPr>
          <w:rFonts w:hint="eastAsia" w:ascii="宋体" w:hAnsi="宋体" w:cs="宋体"/>
          <w:sz w:val="24"/>
          <w:szCs w:val="24"/>
          <w:highlight w:val="none"/>
        </w:rPr>
        <w:t xml:space="preserve">承包人收到保修通知并到达工程现场的合理时间</w:t>
      </w:r>
      <w:r>
        <w:rPr>
          <w:rFonts w:hint="eastAsia" w:ascii="宋体" w:hAnsi="宋体" w:cs="宋体"/>
          <w:sz w:val="24"/>
          <w:szCs w:val="24"/>
          <w:highlight w:val="none"/>
          <w:u w:val="single"/>
        </w:rPr>
        <w:t xml:space="preserve">：</w:t>
      </w:r>
      <w:bookmarkStart w:id="861" w:name="EBcd633b3dc882425990ca7e976bd37810"/>
      <w:r>
        <w:rPr>
          <w:rFonts w:hint="eastAsia" w:ascii="宋体" w:hAnsi="宋体" w:cs="宋体"/>
          <w:sz w:val="24"/>
          <w:szCs w:val="24"/>
          <w:highlight w:val="none"/>
          <w:u w:val="single"/>
        </w:rPr>
        <w:t xml:space="preserve">执行通用条款</w:t>
      </w:r>
      <w:bookmarkEnd w:id="861"/>
      <w:r>
        <w:rPr>
          <w:rFonts w:hint="eastAsia" w:ascii="宋体" w:hAnsi="宋体" w:cs="宋体"/>
          <w:sz w:val="24"/>
          <w:szCs w:val="24"/>
          <w:highlight w:val="none"/>
          <w:u w:val="single"/>
        </w:rPr>
        <w:t xml:space="preserve">。</w:t>
      </w:r>
      <w:r>
        <w:rPr>
          <w:highlight w:val="none"/>
        </w:rPr>
      </w:r>
      <w:r/>
    </w:p>
    <w:p>
      <w:pPr>
        <w:spacing w:line="300" w:lineRule="exact"/>
        <w:rPr>
          <w:rFonts w:hint="eastAsia" w:ascii="宋体" w:hAnsi="宋体" w:cs="宋体"/>
          <w:sz w:val="24"/>
          <w:szCs w:val="24"/>
          <w:highlight w:val="none"/>
        </w:rPr>
        <w:outlineLvl w:val="1"/>
      </w:pPr>
      <w:r>
        <w:rPr>
          <w:highlight w:val="none"/>
        </w:rPr>
      </w:r>
      <w:bookmarkStart w:id="862" w:name="_Toc9493"/>
      <w:r>
        <w:rPr>
          <w:rFonts w:hint="eastAsia" w:ascii="宋体" w:hAnsi="宋体" w:cs="宋体"/>
          <w:sz w:val="24"/>
          <w:szCs w:val="24"/>
          <w:highlight w:val="none"/>
        </w:rPr>
        <w:t xml:space="preserve">16. 违约</w:t>
      </w:r>
      <w:bookmarkEnd w:id="862"/>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63" w:name="_Toc17168"/>
      <w:r>
        <w:rPr>
          <w:rFonts w:hint="eastAsia" w:ascii="宋体" w:hAnsi="宋体" w:cs="宋体"/>
          <w:sz w:val="24"/>
          <w:szCs w:val="24"/>
          <w:highlight w:val="none"/>
        </w:rPr>
        <w:t xml:space="preserve">16.1 发包人违约</w:t>
      </w:r>
      <w:bookmarkEnd w:id="863"/>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16.1.1发包人违约的情形</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发包人违约的其他情形：</w:t>
      </w:r>
      <w:bookmarkStart w:id="864" w:name="EB05743f68458f4cc99488df9977aca5cd"/>
      <w:r>
        <w:rPr>
          <w:highlight w:val="none"/>
        </w:rPr>
      </w:r>
      <w:bookmarkEnd w:id="864"/>
      <w:r>
        <w:rPr>
          <w:rFonts w:hint="eastAsia" w:ascii="宋体" w:hAnsi="宋体" w:cs="宋体"/>
          <w:sz w:val="24"/>
          <w:szCs w:val="24"/>
          <w:highlight w:val="none"/>
        </w:rPr>
        <w:t xml:space="preserve">。</w:t>
      </w:r>
      <w:r>
        <w:rPr>
          <w:highlight w:val="none"/>
        </w:rPr>
      </w:r>
      <w:r/>
    </w:p>
    <w:p>
      <w:pPr>
        <w:ind w:left="1050" w:hanging="120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    16.1.2 发包人违约的责任</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发包人违约责任的承担方式和计算方法：</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（1）因发包人原因未能在计划开工日期前7天内下达开工通知的违约责任：</w:t>
      </w:r>
      <w:bookmarkStart w:id="865" w:name="EB106b67cf6fb24ee3956e75731cadb67e"/>
      <w:r>
        <w:rPr>
          <w:rFonts w:hint="eastAsia" w:ascii="宋体" w:hAnsi="宋体" w:cs="宋体"/>
          <w:sz w:val="24"/>
          <w:szCs w:val="24"/>
          <w:highlight w:val="none"/>
          <w:u w:val="single"/>
        </w:rPr>
        <w:t xml:space="preserve">执行通用条款</w:t>
      </w:r>
      <w:bookmarkEnd w:id="865"/>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（2）因发包人原因未能按合同约定支付合同价款的违约责任：</w:t>
      </w:r>
      <w:r>
        <w:rPr>
          <w:highlight w:val="none"/>
        </w:rPr>
      </w:r>
      <w:r/>
    </w:p>
    <w:p>
      <w:pPr>
        <w:ind w:firstLine="480"/>
        <w:spacing w:line="300" w:lineRule="exact"/>
        <w:rPr>
          <w:rFonts w:hint="eastAsia" w:ascii="宋体" w:hAnsi="宋体" w:cs="宋体"/>
          <w:sz w:val="24"/>
          <w:szCs w:val="24"/>
          <w:highlight w:val="none"/>
          <w:u w:val="single"/>
        </w:rPr>
      </w:pPr>
      <w:r>
        <w:rPr>
          <w:highlight w:val="none"/>
        </w:rPr>
      </w:r>
      <w:bookmarkStart w:id="866" w:name="EB2f99169a5eb74fdcb0d9f14cd88e5e17"/>
      <w:r>
        <w:rPr>
          <w:rFonts w:hint="eastAsia" w:ascii="宋体" w:hAnsi="宋体" w:cs="宋体"/>
          <w:sz w:val="24"/>
          <w:szCs w:val="24"/>
          <w:highlight w:val="none"/>
          <w:u w:val="single"/>
        </w:rPr>
        <w:t xml:space="preserve">执行通用条款</w:t>
      </w:r>
      <w:bookmarkEnd w:id="866"/>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（3）发包人违反第10.1款〔变更的范围〕第（2）项约定，自行实施被取消的工作或转由他人实施的违约责任：</w:t>
      </w:r>
      <w:bookmarkStart w:id="867" w:name="EBfb95a55d2dd04d4ebb22e83702565c67"/>
      <w:r>
        <w:rPr>
          <w:rFonts w:hint="eastAsia" w:ascii="宋体" w:hAnsi="宋体" w:cs="宋体"/>
          <w:sz w:val="24"/>
          <w:szCs w:val="24"/>
          <w:highlight w:val="none"/>
          <w:u w:val="single"/>
        </w:rPr>
        <w:t xml:space="preserve">执行通用条款</w:t>
      </w:r>
      <w:bookmarkEnd w:id="867"/>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24"/>
          <w:highlight w:val="none"/>
          <w:u w:val="single"/>
        </w:rPr>
        <w:t xml:space="preserve">执行通用条款。</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（5）因发包人违反合同约定造成暂停施工的违约责任：</w:t>
      </w:r>
      <w:bookmarkStart w:id="868" w:name="EBb970a764de224404a949dd53153e6dcd"/>
      <w:r>
        <w:rPr>
          <w:rFonts w:hint="eastAsia" w:ascii="宋体" w:hAnsi="宋体" w:cs="宋体"/>
          <w:sz w:val="24"/>
          <w:szCs w:val="24"/>
          <w:highlight w:val="none"/>
        </w:rPr>
        <w:t xml:space="preserve">执行通用条款</w:t>
      </w:r>
      <w:bookmarkEnd w:id="868"/>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（6）发包人无正当理由没有在约定期限内发出复工指示，导致承包人无法复工的违约责任：</w:t>
      </w:r>
      <w:r>
        <w:rPr>
          <w:rFonts w:hint="eastAsia" w:ascii="宋体" w:hAnsi="宋体" w:cs="宋体"/>
          <w:sz w:val="24"/>
          <w:szCs w:val="24"/>
          <w:highlight w:val="none"/>
          <w:u w:val="single"/>
        </w:rPr>
        <w:t xml:space="preserve">执行通用条款。</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（7）其他：</w:t>
      </w:r>
      <w:bookmarkStart w:id="869" w:name="EB44413ede0a8b49849b0a086b881e095d"/>
      <w:r>
        <w:rPr>
          <w:highlight w:val="none"/>
        </w:rPr>
      </w:r>
      <w:bookmarkEnd w:id="869"/>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16.1.3 因发包人违约解除合同</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承包人按16.1.1项〔发包人违约的情形〕约定暂停施工满</w:t>
      </w:r>
      <w:bookmarkStart w:id="870" w:name="EBd75700bd30c24e979c13fd22998adb41"/>
      <w:r>
        <w:rPr>
          <w:rFonts w:hint="eastAsia" w:ascii="宋体" w:hAnsi="宋体" w:cs="宋体"/>
          <w:sz w:val="24"/>
          <w:szCs w:val="24"/>
          <w:highlight w:val="none"/>
        </w:rPr>
        <w:t xml:space="preserve">28</w:t>
      </w:r>
      <w:bookmarkEnd w:id="870"/>
      <w:r>
        <w:rPr>
          <w:rFonts w:hint="eastAsia" w:ascii="宋体" w:hAnsi="宋体" w:cs="宋体"/>
          <w:sz w:val="24"/>
          <w:szCs w:val="24"/>
          <w:highlight w:val="none"/>
        </w:rPr>
        <w:t xml:space="preserve">天后发包人仍不纠正其违约行为并致使合同目的不能实现的，承包人有权解除合同。</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71" w:name="_Toc17002"/>
      <w:r>
        <w:rPr>
          <w:rFonts w:hint="eastAsia" w:ascii="宋体" w:hAnsi="宋体" w:cs="宋体"/>
          <w:sz w:val="24"/>
          <w:szCs w:val="24"/>
          <w:highlight w:val="none"/>
        </w:rPr>
        <w:t xml:space="preserve">16.2 承包人违约</w:t>
      </w:r>
      <w:bookmarkEnd w:id="871"/>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16.2.1 承包人违约的情形</w:t>
      </w:r>
      <w:r>
        <w:rPr>
          <w:highlight w:val="none"/>
        </w:rPr>
      </w:r>
      <w:r/>
    </w:p>
    <w:p>
      <w:pPr>
        <w:spacing w:line="300" w:lineRule="exact"/>
        <w:rPr>
          <w:rFonts w:hint="default" w:ascii="宋体" w:hAnsi="宋体" w:eastAsia="宋体" w:cs="宋体"/>
          <w:sz w:val="24"/>
          <w:szCs w:val="24"/>
          <w:highlight w:val="none"/>
          <w:u w:val="single"/>
        </w:rPr>
      </w:pPr>
      <w:r>
        <w:rPr>
          <w:rFonts w:hint="eastAsia" w:ascii="宋体" w:hAnsi="宋体" w:cs="宋体"/>
          <w:sz w:val="24"/>
          <w:szCs w:val="24"/>
          <w:highlight w:val="none"/>
        </w:rPr>
        <w:t xml:space="preserve">承包人违约的其他情形：</w:t>
      </w:r>
      <w:r>
        <w:rPr>
          <w:rFonts w:hint="eastAsia" w:ascii="宋体" w:hAnsi="宋体" w:cs="宋体"/>
          <w:sz w:val="24"/>
          <w:szCs w:val="24"/>
          <w:highlight w:val="none"/>
          <w:u w:val="single"/>
          <w:lang w:val="en-US" w:eastAsia="zh-CN"/>
        </w:rPr>
        <w:t xml:space="preserve">  </w:t>
      </w:r>
      <w:r>
        <w:rPr>
          <w:rFonts w:hint="eastAsia" w:ascii="宋体" w:hAnsi="宋体" w:cs="宋体"/>
          <w:b/>
          <w:bCs/>
          <w:sz w:val="24"/>
          <w:szCs w:val="24"/>
          <w:highlight w:val="none"/>
          <w:u w:val="single"/>
          <w:lang w:val="en-US" w:eastAsia="zh-CN"/>
        </w:rPr>
        <w:t xml:space="preserve"> 不能保证工期、工程质量。                        </w:t>
      </w:r>
      <w:r>
        <w:rPr>
          <w:rFonts w:hint="eastAsia" w:ascii="宋体" w:hAnsi="宋体" w:cs="宋体"/>
          <w:sz w:val="24"/>
          <w:szCs w:val="24"/>
          <w:highlight w:val="none"/>
          <w:u w:val="single"/>
          <w:lang w:val="en-US" w:eastAsia="zh-CN"/>
        </w:rPr>
        <w:t xml:space="preserve">                      </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16.2.2承包人违约的责任</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承包人违约责任的承担方式和计算方法：</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b/>
          <w:bCs/>
          <w:sz w:val="24"/>
          <w:szCs w:val="24"/>
          <w:highlight w:val="none"/>
          <w:u w:val="single"/>
          <w:lang w:val="en-US" w:eastAsia="zh-CN"/>
        </w:rPr>
        <w:t xml:space="preserve">合同工期为30日历天，如因施工单位原因导致工期延误，建设单位有权按2000元/日处罚施工单位，此处罚不能解除施工单位应完成本工程的各种责任和合同规定的其他责任 ；如施工单位不能保证工期、工程质量，经建设单位要求，仍不能达到要求的，建设单位有权解除合同，施工单位承担违约责任及其他各种不利后果。</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16.2.3 因承包人违约解除合同</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关于承包人违约解除合同的特别约定：</w:t>
      </w:r>
      <w:bookmarkStart w:id="872" w:name="EBea7ed3ea2a9543598c25d0a0800b9596"/>
      <w:r>
        <w:rPr>
          <w:rFonts w:hint="eastAsia" w:ascii="宋体" w:hAnsi="宋体" w:cs="宋体"/>
          <w:sz w:val="24"/>
          <w:szCs w:val="24"/>
          <w:highlight w:val="none"/>
          <w:u w:val="single"/>
        </w:rPr>
        <w:t xml:space="preserve">根据通用合同条款约定执行</w:t>
      </w:r>
      <w:bookmarkEnd w:id="872"/>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发包人继续使用承包人在施工现场的材料、设备、临时工程、承包人文件和由承包人或以其名义编制的其他文件的费用承担方式：</w:t>
      </w:r>
      <w:bookmarkStart w:id="873" w:name="EB47b07c1818564b1da26b194ae70d411b"/>
      <w:r>
        <w:rPr>
          <w:highlight w:val="none"/>
        </w:rPr>
      </w:r>
      <w:bookmarkEnd w:id="873"/>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outlineLvl w:val="1"/>
      </w:pPr>
      <w:r>
        <w:rPr>
          <w:highlight w:val="none"/>
        </w:rPr>
      </w:r>
      <w:bookmarkStart w:id="874" w:name="_Toc5295"/>
      <w:r>
        <w:rPr>
          <w:rFonts w:hint="eastAsia" w:ascii="宋体" w:hAnsi="宋体" w:cs="宋体"/>
          <w:sz w:val="24"/>
          <w:szCs w:val="24"/>
          <w:highlight w:val="none"/>
        </w:rPr>
        <w:t xml:space="preserve">17. 不可抗力</w:t>
      </w:r>
      <w:bookmarkEnd w:id="874"/>
      <w:r>
        <w:rPr>
          <w:rFonts w:hint="eastAsia" w:ascii="宋体" w:hAnsi="宋体" w:cs="宋体"/>
          <w:sz w:val="24"/>
          <w:szCs w:val="24"/>
          <w:highlight w:val="none"/>
        </w:rPr>
        <w:t xml:space="preserve"> </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75" w:name="_Toc22612"/>
      <w:r>
        <w:rPr>
          <w:rFonts w:hint="eastAsia" w:ascii="宋体" w:hAnsi="宋体" w:cs="宋体"/>
          <w:sz w:val="24"/>
          <w:szCs w:val="24"/>
          <w:highlight w:val="none"/>
        </w:rPr>
        <w:t xml:space="preserve">17.1 不可抗力的确认</w:t>
      </w:r>
      <w:bookmarkEnd w:id="875"/>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除通用合同条款约定的不可抗力事件之外，视为不可抗力的其他情形：</w:t>
      </w:r>
      <w:r>
        <w:rPr>
          <w:highlight w:val="none"/>
        </w:rPr>
      </w:r>
      <w:r/>
    </w:p>
    <w:p>
      <w:pPr>
        <w:ind w:firstLine="480"/>
        <w:spacing w:line="300" w:lineRule="exact"/>
        <w:rPr>
          <w:rFonts w:hint="eastAsia" w:ascii="宋体" w:hAnsi="宋体" w:cs="宋体"/>
          <w:sz w:val="24"/>
          <w:szCs w:val="24"/>
          <w:highlight w:val="none"/>
          <w:u w:val="single"/>
        </w:rPr>
      </w:pPr>
      <w:r>
        <w:rPr>
          <w:highlight w:val="none"/>
        </w:rPr>
      </w:r>
      <w:bookmarkStart w:id="876" w:name="EB812a570dafc64af0803b2f5da5108ab8"/>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8 级以上大风（以句容市气象台资料为准）、日降雨雪量达到 100mm 以上</w:t>
      </w:r>
      <w:bookmarkEnd w:id="876"/>
      <w:r>
        <w:rPr>
          <w:rFonts w:hint="eastAsia" w:ascii="宋体" w:hAnsi="宋体" w:cs="宋体"/>
          <w:sz w:val="24"/>
          <w:szCs w:val="24"/>
          <w:highlight w:val="none"/>
          <w:u w:val="singl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77" w:name="_Toc7097"/>
      <w:r>
        <w:rPr>
          <w:rFonts w:hint="eastAsia" w:ascii="宋体" w:hAnsi="宋体" w:cs="宋体"/>
          <w:sz w:val="24"/>
          <w:szCs w:val="24"/>
          <w:highlight w:val="none"/>
        </w:rPr>
        <w:t xml:space="preserve">17.4 因不可抗力解除合同</w:t>
      </w:r>
      <w:bookmarkEnd w:id="877"/>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合同解除后，发包人应在商定或确定发包人应支付款项后</w:t>
      </w:r>
      <w:bookmarkStart w:id="878" w:name="EB32d0d5f104d44746baaca126113bf22d"/>
      <w:r>
        <w:rPr>
          <w:rFonts w:hint="eastAsia" w:ascii="宋体" w:hAnsi="宋体" w:cs="宋体"/>
          <w:sz w:val="24"/>
          <w:szCs w:val="24"/>
          <w:highlight w:val="none"/>
        </w:rPr>
        <w:t xml:space="preserve">28</w:t>
      </w:r>
      <w:bookmarkEnd w:id="878"/>
      <w:r>
        <w:rPr>
          <w:rFonts w:hint="eastAsia" w:ascii="宋体" w:hAnsi="宋体" w:cs="宋体"/>
          <w:sz w:val="24"/>
          <w:szCs w:val="24"/>
          <w:highlight w:val="none"/>
        </w:rPr>
        <w:t xml:space="preserve">天内完成款项的支付。</w:t>
      </w:r>
      <w:r>
        <w:rPr>
          <w:highlight w:val="none"/>
        </w:rPr>
      </w:r>
      <w:r/>
    </w:p>
    <w:p>
      <w:pPr>
        <w:spacing w:line="300" w:lineRule="exact"/>
        <w:rPr>
          <w:rFonts w:hint="eastAsia" w:ascii="宋体" w:hAnsi="宋体" w:cs="宋体"/>
          <w:sz w:val="24"/>
          <w:szCs w:val="24"/>
          <w:highlight w:val="none"/>
        </w:rPr>
        <w:outlineLvl w:val="1"/>
      </w:pPr>
      <w:r>
        <w:rPr>
          <w:highlight w:val="none"/>
        </w:rPr>
      </w:r>
      <w:bookmarkStart w:id="879" w:name="_Toc11642"/>
      <w:r>
        <w:rPr>
          <w:rFonts w:hint="eastAsia" w:ascii="宋体" w:hAnsi="宋体" w:cs="宋体"/>
          <w:sz w:val="24"/>
          <w:szCs w:val="24"/>
          <w:highlight w:val="none"/>
        </w:rPr>
        <w:t xml:space="preserve">18. 保险</w:t>
      </w:r>
      <w:bookmarkEnd w:id="879"/>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80" w:name="_Toc3988"/>
      <w:r>
        <w:rPr>
          <w:rFonts w:hint="eastAsia" w:ascii="宋体" w:hAnsi="宋体" w:cs="宋体"/>
          <w:sz w:val="24"/>
          <w:szCs w:val="24"/>
          <w:highlight w:val="none"/>
        </w:rPr>
        <w:t xml:space="preserve">18.1 工程保险</w:t>
      </w:r>
      <w:bookmarkEnd w:id="880"/>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关于工程保险的特别约定：</w:t>
      </w:r>
      <w:bookmarkStart w:id="881" w:name="EB40da778b486349fb895d722c44ec54d9"/>
      <w:r>
        <w:rPr>
          <w:rFonts w:hint="eastAsia" w:ascii="宋体" w:hAnsi="宋体" w:cs="宋体"/>
          <w:sz w:val="24"/>
          <w:szCs w:val="24"/>
          <w:highlight w:val="none"/>
        </w:rPr>
        <w:t xml:space="preserve">执行通用条款</w:t>
      </w:r>
      <w:bookmarkEnd w:id="881"/>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82" w:name="_Toc24993"/>
      <w:r>
        <w:rPr>
          <w:rFonts w:hint="eastAsia" w:ascii="宋体" w:hAnsi="宋体" w:cs="宋体"/>
          <w:sz w:val="24"/>
          <w:szCs w:val="24"/>
          <w:highlight w:val="none"/>
        </w:rPr>
        <w:t xml:space="preserve">18.3 其他保险</w:t>
      </w:r>
      <w:bookmarkEnd w:id="882"/>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关于其他保险的约定：</w:t>
      </w:r>
      <w:bookmarkStart w:id="883" w:name="EB5224f810cb6f44da89cbb80290d2ed72"/>
      <w:r>
        <w:rPr>
          <w:rFonts w:hint="eastAsia" w:ascii="宋体" w:hAnsi="宋体" w:cs="宋体"/>
          <w:sz w:val="24"/>
          <w:szCs w:val="24"/>
          <w:highlight w:val="none"/>
        </w:rPr>
        <w:t xml:space="preserve">执行通用条款</w:t>
      </w:r>
      <w:bookmarkEnd w:id="883"/>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承包人是否应为其施工设备等办理财产保险：</w:t>
      </w:r>
      <w:bookmarkStart w:id="884" w:name="EBd08adb41180e4b73809cb4ad4ac05ea9"/>
      <w:r>
        <w:rPr>
          <w:rFonts w:hint="eastAsia" w:ascii="宋体" w:hAnsi="宋体" w:cs="宋体"/>
          <w:sz w:val="24"/>
          <w:szCs w:val="24"/>
          <w:highlight w:val="none"/>
        </w:rPr>
        <w:t xml:space="preserve">是</w:t>
      </w:r>
      <w:bookmarkEnd w:id="884"/>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85" w:name="_Toc1822"/>
      <w:r>
        <w:rPr>
          <w:rFonts w:hint="eastAsia" w:ascii="宋体" w:hAnsi="宋体" w:cs="宋体"/>
          <w:sz w:val="24"/>
          <w:szCs w:val="24"/>
          <w:highlight w:val="none"/>
        </w:rPr>
        <w:t xml:space="preserve">18.7 通知义务</w:t>
      </w:r>
      <w:bookmarkEnd w:id="885"/>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关于变更保险合同时的通知义务的约定：</w:t>
      </w:r>
      <w:bookmarkStart w:id="886" w:name="EBcd2a6700002044be925c31f763a50368"/>
      <w:r>
        <w:rPr>
          <w:rFonts w:hint="eastAsia" w:ascii="宋体" w:hAnsi="宋体" w:cs="宋体"/>
          <w:sz w:val="24"/>
          <w:szCs w:val="24"/>
          <w:highlight w:val="none"/>
        </w:rPr>
        <w:t xml:space="preserve">执行通用条款</w:t>
      </w:r>
      <w:bookmarkEnd w:id="886"/>
      <w:r>
        <w:rPr>
          <w:rFonts w:hint="eastAsia" w:ascii="宋体" w:hAnsi="宋体" w:cs="宋体"/>
          <w:sz w:val="24"/>
          <w:szCs w:val="24"/>
          <w:highlight w:val="none"/>
        </w:rPr>
        <w:t xml:space="preserve">。</w:t>
      </w:r>
      <w:r>
        <w:rPr>
          <w:highlight w:val="none"/>
        </w:rPr>
      </w:r>
      <w:r/>
    </w:p>
    <w:p>
      <w:pPr>
        <w:spacing w:line="300" w:lineRule="exact"/>
        <w:rPr>
          <w:rFonts w:hint="eastAsia" w:ascii="宋体" w:hAnsi="宋体" w:cs="宋体"/>
          <w:sz w:val="24"/>
          <w:szCs w:val="24"/>
          <w:highlight w:val="none"/>
        </w:rPr>
        <w:outlineLvl w:val="1"/>
      </w:pPr>
      <w:r>
        <w:rPr>
          <w:highlight w:val="none"/>
        </w:rPr>
      </w:r>
      <w:bookmarkStart w:id="887" w:name="_Toc30123"/>
      <w:r>
        <w:rPr>
          <w:rFonts w:hint="eastAsia" w:ascii="宋体" w:hAnsi="宋体" w:cs="宋体"/>
          <w:sz w:val="24"/>
          <w:szCs w:val="24"/>
          <w:highlight w:val="none"/>
        </w:rPr>
        <w:t xml:space="preserve">20. 争议解决</w:t>
      </w:r>
      <w:bookmarkEnd w:id="887"/>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88" w:name="_Toc14119"/>
      <w:r>
        <w:rPr>
          <w:rFonts w:hint="eastAsia" w:ascii="宋体" w:hAnsi="宋体" w:cs="宋体"/>
          <w:sz w:val="24"/>
          <w:szCs w:val="24"/>
          <w:highlight w:val="none"/>
        </w:rPr>
        <w:t xml:space="preserve">20.3 争议评审</w:t>
      </w:r>
      <w:bookmarkEnd w:id="888"/>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合同当事人是否同意将工程争议提交争议评审小组决定：</w:t>
      </w:r>
      <w:bookmarkStart w:id="889" w:name="EB13aac2132dfe4e6ab1a7d093150b0c37"/>
      <w:r>
        <w:rPr>
          <w:highlight w:val="none"/>
        </w:rPr>
      </w:r>
      <w:bookmarkEnd w:id="889"/>
      <w:r>
        <w:rPr>
          <w:rFonts w:hint="eastAsia" w:ascii="宋体" w:hAnsi="宋体" w:cs="宋体"/>
          <w:sz w:val="24"/>
          <w:szCs w:val="24"/>
          <w:highlight w:val="none"/>
        </w:rPr>
        <w:t xml:space="preserve">。  </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20.3.1 争议评审小组的确定</w:t>
      </w:r>
      <w:r>
        <w:rPr>
          <w:highlight w:val="none"/>
        </w:rPr>
      </w:r>
      <w:r/>
    </w:p>
    <w:p>
      <w:pPr>
        <w:ind w:firstLine="480"/>
        <w:spacing w:line="3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争议评审小组成员的确定：</w:t>
      </w:r>
      <w:bookmarkStart w:id="890" w:name="EBec2a49e7a4ec4a37bfa2364e95c7b742"/>
      <w:r>
        <w:rPr>
          <w:highlight w:val="none"/>
        </w:rPr>
      </w:r>
      <w:bookmarkEnd w:id="890"/>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选定争议评审员的期限：</w:t>
      </w:r>
      <w:bookmarkStart w:id="891" w:name="EB29a91cafa0084d7b95929445e874344a"/>
      <w:r>
        <w:rPr>
          <w:highlight w:val="none"/>
        </w:rPr>
      </w:r>
      <w:bookmarkEnd w:id="891"/>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争议评审小组成员的报酬承担方式：</w:t>
      </w:r>
      <w:bookmarkStart w:id="892" w:name="EB9fdd9a53ae3f442286343aff88fe7bcb"/>
      <w:r>
        <w:rPr>
          <w:highlight w:val="none"/>
        </w:rPr>
      </w:r>
      <w:bookmarkEnd w:id="892"/>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其他事项的约定：</w:t>
      </w:r>
      <w:bookmarkStart w:id="893" w:name="EB23ef1de943564857ae1039859faa899e"/>
      <w:r>
        <w:rPr>
          <w:highlight w:val="none"/>
        </w:rPr>
      </w:r>
      <w:bookmarkEnd w:id="893"/>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20.3.2 争议评审小组的决定</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合同当事人关于本项的约定：</w:t>
      </w:r>
      <w:bookmarkStart w:id="894" w:name="EB907bb7e8d12f4151b9ebfdf473ee5889"/>
      <w:r>
        <w:rPr>
          <w:highlight w:val="none"/>
        </w:rPr>
      </w:r>
      <w:bookmarkEnd w:id="894"/>
      <w:r>
        <w:rPr>
          <w:rFonts w:hint="eastAsia" w:ascii="宋体" w:hAnsi="宋体" w:cs="宋体"/>
          <w:sz w:val="24"/>
          <w:szCs w:val="24"/>
          <w:highlight w:val="none"/>
        </w:rPr>
        <w:t xml:space="preserve">。</w:t>
      </w:r>
      <w:r>
        <w:rPr>
          <w:highlight w:val="none"/>
        </w:rPr>
      </w:r>
      <w:r/>
    </w:p>
    <w:p>
      <w:pPr>
        <w:ind w:firstLine="480"/>
        <w:spacing w:line="300" w:lineRule="exact"/>
        <w:rPr>
          <w:rFonts w:hint="eastAsia" w:ascii="宋体" w:hAnsi="宋体" w:cs="宋体"/>
          <w:sz w:val="24"/>
          <w:szCs w:val="24"/>
          <w:highlight w:val="none"/>
        </w:rPr>
        <w:outlineLvl w:val="2"/>
      </w:pPr>
      <w:r>
        <w:rPr>
          <w:highlight w:val="none"/>
        </w:rPr>
      </w:r>
      <w:bookmarkStart w:id="895" w:name="_Toc3260"/>
      <w:r>
        <w:rPr>
          <w:rFonts w:hint="eastAsia" w:ascii="宋体" w:hAnsi="宋体" w:cs="宋体"/>
          <w:sz w:val="24"/>
          <w:szCs w:val="24"/>
          <w:highlight w:val="none"/>
        </w:rPr>
        <w:t xml:space="preserve">20.4仲裁或诉讼</w:t>
      </w:r>
      <w:bookmarkEnd w:id="895"/>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因合同及合同有关事项发生的争议，按下列第</w:t>
      </w:r>
      <w:bookmarkStart w:id="896" w:name="EB6a8aeac766be4375a131b2bf78628151"/>
      <w:r>
        <w:rPr>
          <w:rFonts w:hint="eastAsia" w:ascii="宋体" w:hAnsi="宋体" w:cs="宋体"/>
          <w:sz w:val="24"/>
          <w:szCs w:val="24"/>
          <w:highlight w:val="none"/>
        </w:rPr>
        <w:t xml:space="preserve">（2）</w:t>
      </w:r>
      <w:bookmarkEnd w:id="896"/>
      <w:r>
        <w:rPr>
          <w:rFonts w:hint="eastAsia" w:ascii="宋体" w:hAnsi="宋体" w:cs="宋体"/>
          <w:sz w:val="24"/>
          <w:szCs w:val="24"/>
          <w:highlight w:val="none"/>
        </w:rPr>
        <w:t xml:space="preserve">种方式解决：</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（1）向</w:t>
      </w:r>
      <w:bookmarkStart w:id="897" w:name="EB8dac85de02494216a8e71a848e408970"/>
      <w:r>
        <w:rPr>
          <w:highlight w:val="none"/>
        </w:rPr>
      </w:r>
      <w:bookmarkEnd w:id="897"/>
      <w:r>
        <w:rPr>
          <w:rFonts w:hint="eastAsia" w:ascii="宋体" w:hAnsi="宋体" w:cs="宋体"/>
          <w:sz w:val="24"/>
          <w:szCs w:val="24"/>
          <w:highlight w:val="none"/>
        </w:rPr>
        <w:t xml:space="preserve">仲裁委员会申请仲裁；</w:t>
      </w:r>
      <w:r>
        <w:rPr>
          <w:highlight w:val="none"/>
        </w:rPr>
      </w:r>
      <w:r/>
    </w:p>
    <w:p>
      <w:pPr>
        <w:ind w:firstLine="480"/>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（2）向</w:t>
      </w:r>
      <w:bookmarkStart w:id="898" w:name="EBdc9d5bcd2d354883aa31bb7fb453e04a"/>
      <w:r>
        <w:rPr>
          <w:rFonts w:hint="eastAsia" w:ascii="宋体" w:hAnsi="宋体" w:cs="宋体"/>
          <w:sz w:val="24"/>
          <w:szCs w:val="24"/>
          <w:highlight w:val="none"/>
        </w:rPr>
        <w:t xml:space="preserve">句容市</w:t>
      </w:r>
      <w:bookmarkEnd w:id="898"/>
      <w:r>
        <w:rPr>
          <w:rFonts w:hint="eastAsia" w:ascii="宋体" w:hAnsi="宋体" w:cs="宋体"/>
          <w:sz w:val="24"/>
          <w:szCs w:val="24"/>
          <w:highlight w:val="none"/>
        </w:rPr>
        <w:t xml:space="preserve">人民法院起诉。</w:t>
      </w:r>
      <w:r>
        <w:rPr>
          <w:highlight w:val="none"/>
        </w:rPr>
      </w:r>
      <w:r/>
    </w:p>
    <w:p>
      <w:pPr>
        <w:spacing w:line="300" w:lineRule="exact"/>
        <w:rPr>
          <w:rFonts w:hint="eastAsia" w:ascii="宋体" w:hAnsi="宋体" w:cs="宋体"/>
          <w:sz w:val="24"/>
          <w:szCs w:val="24"/>
          <w:highlight w:val="none"/>
        </w:rPr>
      </w:pPr>
      <w:r>
        <w:rPr>
          <w:highlight w:val="none"/>
        </w:rPr>
      </w:r>
      <w:bookmarkStart w:id="899" w:name="EBe096595afd2943848426cb90e817fffb"/>
      <w:r>
        <w:rPr>
          <w:rFonts w:hint="eastAsia" w:ascii="宋体" w:hAnsi="宋体" w:cs="宋体"/>
          <w:sz w:val="24"/>
          <w:szCs w:val="24"/>
          <w:highlight w:val="none"/>
        </w:rPr>
        <w:t xml:space="preserve"> </w:t>
      </w:r>
      <w:bookmarkEnd w:id="899"/>
      <w:r>
        <w:rPr>
          <w:highlight w:val="none"/>
        </w:rPr>
      </w:r>
      <w:r/>
    </w:p>
    <w:p>
      <w:pPr>
        <w:spacing w:line="300" w:lineRule="exact"/>
        <w:rPr>
          <w:rFonts w:hint="eastAsia" w:ascii="宋体" w:hAnsi="宋体" w:cs="宋体"/>
          <w:sz w:val="24"/>
          <w:szCs w:val="24"/>
          <w:highlight w:val="none"/>
        </w:rPr>
      </w:pPr>
      <w:r>
        <w:rPr>
          <w:highlight w:val="none"/>
        </w:rPr>
      </w:r>
      <w:bookmarkStart w:id="900" w:name="EB31d1425ac5614d1291aec6db62bedd39"/>
      <w:r>
        <w:rPr>
          <w:rFonts w:hint="eastAsia" w:ascii="宋体" w:hAnsi="宋体" w:cs="宋体"/>
          <w:sz w:val="24"/>
          <w:szCs w:val="24"/>
          <w:highlight w:val="none"/>
        </w:rPr>
        <w:t xml:space="preserve"> </w:t>
      </w:r>
      <w:bookmarkEnd w:id="900"/>
      <w:r>
        <w:rPr>
          <w:highlight w:val="none"/>
        </w:rPr>
      </w:r>
      <w:bookmarkStart w:id="901" w:name="EB29cccdc7440b440ba155dbf578a2009b"/>
      <w:r>
        <w:rPr>
          <w:rFonts w:hint="eastAsia" w:ascii="宋体" w:hAnsi="宋体" w:cs="宋体"/>
          <w:sz w:val="24"/>
          <w:szCs w:val="24"/>
          <w:highlight w:val="none"/>
        </w:rPr>
        <w:t xml:space="preserve"> </w:t>
      </w:r>
      <w:bookmarkEnd w:id="901"/>
      <w:r>
        <w:rPr>
          <w:highlight w:val="none"/>
        </w:rPr>
      </w:r>
      <w:r/>
    </w:p>
    <w:p>
      <w:pPr>
        <w:spacing w:line="300" w:lineRule="exact"/>
        <w:rPr>
          <w:rFonts w:hint="eastAsia" w:ascii="宋体" w:hAnsi="宋体" w:cs="宋体"/>
          <w:b/>
          <w:sz w:val="24"/>
          <w:szCs w:val="24"/>
          <w:highlight w:val="none"/>
        </w:rPr>
      </w:pPr>
      <w:r>
        <w:rPr>
          <w:rFonts w:hint="eastAsia" w:ascii="宋体" w:hAnsi="宋体" w:cs="宋体"/>
          <w:b/>
          <w:sz w:val="24"/>
          <w:szCs w:val="24"/>
          <w:highlight w:val="none"/>
        </w:rPr>
        <w:t xml:space="preserve">附件</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协议书附件：</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附件1：承包人承揽工程项目一览表</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专用合同条款附件：</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附件2：发包人供应材料设备一览表</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附件3：工程质量保修书</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附件4：主要建设工程文件目录</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附件5：承包人用于本工程施工的机械设备表</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附件6：承包人主要施工管理人员表</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附件7：分包人主要施工管理人员表</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附件8：履约担保格式</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附件9：预付款担保格式</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附件10：支付担保格式</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附件11：暂估价一览表</w:t>
      </w:r>
      <w:r>
        <w:rPr>
          <w:highlight w:val="none"/>
        </w:rPr>
      </w:r>
      <w:r/>
    </w:p>
    <w:p>
      <w:pPr>
        <w:spacing w:line="300" w:lineRule="exact"/>
        <w:widowControl/>
        <w:rPr>
          <w:rFonts w:hint="eastAsia" w:ascii="宋体" w:hAnsi="宋体" w:cs="宋体"/>
          <w:sz w:val="24"/>
          <w:szCs w:val="24"/>
          <w:highlight w:val="none"/>
        </w:rPr>
        <w:sectPr>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sz w:val="24"/>
          <w:szCs w:val="24"/>
          <w:highlight w:val="none"/>
        </w:rPr>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附件1：</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承包人承揽工程项目一览表</w:t>
      </w:r>
      <w:r>
        <w:rPr>
          <w:highlight w:val="none"/>
        </w:rPr>
      </w:r>
      <w:r/>
    </w:p>
    <w:tbl>
      <w:tblPr>
        <w:tblStyle w:val="781"/>
        <w:tblW w:w="9804" w:type="dxa"/>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527"/>
        <w:gridCol w:w="1275"/>
      </w:tblGrid>
      <w:tr>
        <w:trPr>
          <w:trHeight w:val="1206"/>
        </w:trPr>
        <w:tc>
          <w:tcPr>
            <w:tcBorders>
              <w:top w:val="single" w:color="000000" w:sz="12" w:space="0"/>
              <w:left w:val="single" w:color="000000" w:sz="12" w:space="0"/>
              <w:bottom w:val="single" w:color="000000" w:sz="6"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单位工程名称</w:t>
            </w:r>
            <w:r>
              <w:rPr>
                <w:highlight w:val="none"/>
              </w:rPr>
            </w:r>
            <w:r/>
          </w:p>
        </w:tc>
        <w:tc>
          <w:tcPr>
            <w:tcBorders>
              <w:top w:val="single" w:color="000000" w:sz="12" w:space="0"/>
              <w:left w:val="single" w:color="000000" w:sz="6" w:space="0"/>
              <w:bottom w:val="single" w:color="000000" w:sz="6"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建设规模</w:t>
            </w:r>
            <w:r>
              <w:rPr>
                <w:highlight w:val="none"/>
              </w:rPr>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建筑面积(平方米)</w:t>
            </w:r>
            <w:r>
              <w:rPr>
                <w:highlight w:val="none"/>
              </w:rPr>
            </w:r>
            <w:r/>
          </w:p>
        </w:tc>
        <w:tc>
          <w:tcPr>
            <w:tcBorders>
              <w:top w:val="single" w:color="000000" w:sz="12" w:space="0"/>
              <w:left w:val="single" w:color="000000" w:sz="6" w:space="0"/>
              <w:bottom w:val="single" w:color="000000" w:sz="6"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结构形式</w:t>
            </w:r>
            <w:r>
              <w:rPr>
                <w:highlight w:val="none"/>
              </w:rPr>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层数</w:t>
            </w:r>
            <w:r>
              <w:rPr>
                <w:highlight w:val="none"/>
              </w:rPr>
            </w:r>
            <w:r/>
          </w:p>
        </w:tc>
        <w:tc>
          <w:tcPr>
            <w:tcBorders>
              <w:top w:val="single" w:color="000000" w:sz="12" w:space="0"/>
              <w:left w:val="single" w:color="000000" w:sz="6" w:space="0"/>
              <w:bottom w:val="single" w:color="000000" w:sz="6"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生产能力</w:t>
            </w:r>
            <w:r>
              <w:rPr>
                <w:highlight w:val="none"/>
              </w:rPr>
            </w:r>
            <w:r/>
          </w:p>
        </w:tc>
        <w:tc>
          <w:tcPr>
            <w:tcBorders>
              <w:top w:val="single" w:color="000000" w:sz="12" w:space="0"/>
              <w:left w:val="single" w:color="000000" w:sz="6" w:space="0"/>
              <w:bottom w:val="single" w:color="000000" w:sz="6"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设备安装内容</w:t>
            </w:r>
            <w:r>
              <w:rPr>
                <w:highlight w:val="none"/>
              </w:rPr>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合同价格（元）</w:t>
            </w:r>
            <w:r>
              <w:rPr>
                <w:highlight w:val="none"/>
              </w:rPr>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开工日期</w:t>
            </w:r>
            <w:r>
              <w:rPr>
                <w:highlight w:val="none"/>
              </w:rPr>
            </w:r>
            <w:r/>
          </w:p>
        </w:tc>
        <w:tc>
          <w:tcPr>
            <w:tcBorders>
              <w:top w:val="single" w:color="000000" w:sz="12" w:space="0"/>
              <w:left w:val="single" w:color="000000" w:sz="6" w:space="0"/>
              <w:bottom w:val="single" w:color="000000" w:sz="6"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竣工日期</w:t>
            </w:r>
            <w:r>
              <w:rPr>
                <w:highlight w:val="none"/>
              </w:rPr>
            </w:r>
            <w:r/>
          </w:p>
        </w:tc>
      </w:tr>
      <w:tr>
        <w:trPr>
          <w:trHeight w:val="406"/>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406"/>
        </w:trPr>
        <w:tc>
          <w:tcPr>
            <w:tcBorders>
              <w:top w:val="single" w:color="000000" w:sz="6" w:space="0"/>
              <w:left w:val="single" w:color="000000" w:sz="12" w:space="0"/>
              <w:bottom w:val="single" w:color="000000" w:sz="12" w:space="0"/>
              <w:right w:val="single" w:color="000000" w:sz="6" w:space="0"/>
            </w:tcBorders>
            <w:tcW w:w="79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6" w:space="0"/>
            </w:tcBorders>
            <w:tcW w:w="11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6" w:space="0"/>
            </w:tcBorders>
            <w:tcW w:w="149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6" w:space="0"/>
            </w:tcBorders>
            <w:tcW w:w="9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6" w:space="0"/>
            </w:tcBorders>
            <w:tcW w:w="131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12" w:space="0"/>
            </w:tcBorders>
            <w:tcW w:w="12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bl>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附件2：</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发包人供应材料设备一览表</w:t>
      </w:r>
      <w:r>
        <w:rPr>
          <w:highlight w:val="none"/>
        </w:rPr>
      </w:r>
      <w:r/>
    </w:p>
    <w:tbl>
      <w:tblPr>
        <w:tblStyle w:val="781"/>
        <w:tblW w:w="993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jc w:val="center"/>
          <w:trHeight w:val="557"/>
        </w:trPr>
        <w:tc>
          <w:tcPr>
            <w:tcBorders>
              <w:top w:val="single" w:color="000000" w:sz="12" w:space="0"/>
              <w:left w:val="single" w:color="000000" w:sz="12"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highlight w:val="none"/>
              </w:rPr>
            </w:r>
            <w:r/>
          </w:p>
        </w:tc>
        <w:tc>
          <w:tcPr>
            <w:tcBorders>
              <w:top w:val="single" w:color="000000" w:sz="12" w:space="0"/>
              <w:left w:val="single" w:color="000000" w:sz="6" w:space="0"/>
              <w:bottom w:val="single" w:color="000000" w:sz="6" w:space="0"/>
              <w:right w:val="single" w:color="000000" w:sz="6" w:space="0"/>
            </w:tcBorders>
            <w:tcW w:w="118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材料、</w:t>
            </w:r>
            <w:r>
              <w:rPr>
                <w:highlight w:val="none"/>
              </w:rPr>
            </w:r>
            <w:r/>
          </w:p>
          <w:p>
            <w:pPr>
              <w:pStyle w:val="785"/>
              <w:ind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设备品种</w:t>
            </w:r>
            <w:r>
              <w:rPr>
                <w:highlight w:val="none"/>
              </w:rPr>
            </w:r>
            <w:r/>
          </w:p>
        </w:tc>
        <w:tc>
          <w:tcPr>
            <w:tcBorders>
              <w:top w:val="single" w:color="000000" w:sz="12" w:space="0"/>
              <w:left w:val="single" w:color="000000" w:sz="6" w:space="0"/>
              <w:bottom w:val="single" w:color="000000" w:sz="6" w:space="0"/>
              <w:right w:val="single" w:color="000000" w:sz="6" w:space="0"/>
            </w:tcBorders>
            <w:tcW w:w="131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规格型号</w:t>
            </w:r>
            <w:r>
              <w:rPr>
                <w:highlight w:val="none"/>
              </w:rPr>
            </w:r>
            <w:r/>
          </w:p>
        </w:tc>
        <w:tc>
          <w:tcPr>
            <w:tcBorders>
              <w:top w:val="single" w:color="000000" w:sz="12" w:space="0"/>
              <w:left w:val="single" w:color="000000" w:sz="6" w:space="0"/>
              <w:bottom w:val="single" w:color="000000" w:sz="6" w:space="0"/>
              <w:right w:val="single" w:color="000000" w:sz="6" w:space="0"/>
            </w:tcBorders>
            <w:tcW w:w="87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highlight w:val="none"/>
              </w:rPr>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highlight w:val="none"/>
              </w:rPr>
            </w:r>
            <w:r/>
          </w:p>
        </w:tc>
        <w:tc>
          <w:tcPr>
            <w:tcBorders>
              <w:top w:val="single" w:color="000000" w:sz="12" w:space="0"/>
              <w:left w:val="single" w:color="000000" w:sz="6" w:space="0"/>
              <w:bottom w:val="single" w:color="000000" w:sz="6" w:space="0"/>
              <w:right w:val="single" w:color="000000" w:sz="6" w:space="0"/>
            </w:tcBorders>
            <w:tcW w:w="9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rPr>
                <w:highlight w:val="none"/>
              </w:rPr>
            </w:r>
            <w:r/>
          </w:p>
        </w:tc>
        <w:tc>
          <w:tcPr>
            <w:tcBorders>
              <w:top w:val="single" w:color="000000" w:sz="12" w:space="0"/>
              <w:left w:val="single" w:color="000000" w:sz="6" w:space="0"/>
              <w:bottom w:val="single" w:color="000000" w:sz="6" w:space="0"/>
              <w:right w:val="single" w:color="000000" w:sz="6"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质量等级</w:t>
            </w:r>
            <w:r>
              <w:rPr>
                <w:highlight w:val="none"/>
              </w:rPr>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供应时间</w:t>
            </w:r>
            <w:r>
              <w:rPr>
                <w:highlight w:val="none"/>
              </w:rPr>
            </w:r>
            <w:r/>
          </w:p>
        </w:tc>
        <w:tc>
          <w:tcPr>
            <w:tcBorders>
              <w:top w:val="single" w:color="000000" w:sz="12" w:space="0"/>
              <w:left w:val="single" w:color="000000" w:sz="6" w:space="0"/>
              <w:bottom w:val="single" w:color="000000" w:sz="6" w:space="0"/>
              <w:right w:val="single" w:color="000000" w:sz="6" w:space="0"/>
            </w:tcBorders>
            <w:tcW w:w="138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送达地点</w:t>
            </w:r>
            <w:r>
              <w:rPr>
                <w:highlight w:val="none"/>
              </w:rPr>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highlight w:val="none"/>
              </w:rPr>
            </w:r>
            <w:r/>
          </w:p>
        </w:tc>
      </w:tr>
      <w:tr>
        <w:trPr>
          <w:jc w:val="center"/>
          <w:trHeight w:val="541"/>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14"/>
        </w:trPr>
        <w:tc>
          <w:tcPr>
            <w:tcBorders>
              <w:top w:val="none" w:color="000000" w:sz="4" w:space="0"/>
              <w:left w:val="single" w:color="000000" w:sz="12"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18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31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7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9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38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28"/>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bl>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spacing w:line="300" w:lineRule="exact"/>
        <w:widowControl/>
        <w:rPr>
          <w:rFonts w:hint="eastAsia" w:ascii="宋体" w:hAnsi="宋体" w:cs="宋体"/>
          <w:b/>
          <w:sz w:val="24"/>
          <w:szCs w:val="24"/>
          <w:highlight w:val="none"/>
        </w:rPr>
        <w:sectPr>
          <w:footnotePr/>
          <w:endnotePr/>
          <w:type w:val="nextPage"/>
          <w:pgSz w:w="11906" w:h="16838" w:orient="portrait"/>
          <w:pgMar w:top="1418" w:right="1531" w:bottom="1418" w:left="1554" w:header="851" w:footer="992" w:gutter="0"/>
          <w:cols w:num="1" w:sep="0" w:space="720" w:equalWidth="1"/>
          <w:docGrid w:linePitch="360"/>
        </w:sectPr>
      </w:pPr>
      <w:r>
        <w:rPr>
          <w:rFonts w:hint="eastAsia" w:ascii="宋体" w:hAnsi="宋体" w:cs="宋体"/>
          <w:b/>
          <w:sz w:val="24"/>
          <w:szCs w:val="24"/>
          <w:highlight w:val="none"/>
        </w:rPr>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附件3：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工程质量保修书</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　　发包人和承包人根据《中华人民共和国建筑法》和《建设工程质量管理条例》，经协商一致就</w:t>
      </w:r>
      <w:r>
        <w:rPr>
          <w:rFonts w:hint="eastAsia" w:ascii="宋体" w:hAnsi="宋体" w:cs="宋体"/>
          <w:szCs w:val="21"/>
          <w:highlight w:val="none"/>
          <w:u w:val="single"/>
        </w:rPr>
        <w:t xml:space="preserve">         </w:t>
      </w:r>
      <w:r>
        <w:rPr>
          <w:rFonts w:hint="eastAsia" w:ascii="宋体" w:hAnsi="宋体" w:cs="宋体"/>
          <w:szCs w:val="21"/>
          <w:highlight w:val="none"/>
        </w:rPr>
        <w:t xml:space="preserve">（工程全称）签订工程质量保修书。</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　　一、工程质量保修范围和内容</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　　二、质量保修期</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2．屋面防水工程、有防水要求的卫生间、房间和外墙面的防渗为</w:t>
      </w:r>
      <w:r>
        <w:rPr>
          <w:rFonts w:hint="eastAsia" w:ascii="宋体" w:hAnsi="宋体" w:cs="宋体"/>
          <w:szCs w:val="21"/>
          <w:highlight w:val="none"/>
          <w:u w:val="single"/>
        </w:rPr>
        <w:t xml:space="preserve">    5  </w:t>
      </w:r>
      <w:r>
        <w:rPr>
          <w:rFonts w:hint="eastAsia" w:ascii="宋体" w:hAnsi="宋体" w:cs="宋体"/>
          <w:szCs w:val="21"/>
          <w:highlight w:val="none"/>
        </w:rPr>
        <w:t xml:space="preserve">年；</w:t>
      </w:r>
      <w:r>
        <w:rPr>
          <w:highlight w:val="none"/>
        </w:rPr>
      </w:r>
      <w:r/>
    </w:p>
    <w:p>
      <w:pPr>
        <w:ind w:left="420" w:firstLine="105"/>
        <w:spacing w:line="280" w:lineRule="exact"/>
        <w:rPr>
          <w:rFonts w:hint="eastAsia" w:ascii="宋体" w:hAnsi="宋体" w:cs="宋体"/>
          <w:szCs w:val="21"/>
          <w:highlight w:val="none"/>
        </w:rPr>
      </w:pPr>
      <w:r>
        <w:rPr>
          <w:rFonts w:hint="eastAsia" w:ascii="宋体" w:hAnsi="宋体" w:cs="宋体"/>
          <w:szCs w:val="21"/>
          <w:highlight w:val="none"/>
        </w:rPr>
        <w:t xml:space="preserve">3．装修工程为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highlight w:val="none"/>
        </w:rPr>
      </w:r>
      <w:r/>
    </w:p>
    <w:p>
      <w:pPr>
        <w:ind w:left="420" w:firstLine="105"/>
        <w:spacing w:line="280" w:lineRule="exact"/>
        <w:rPr>
          <w:rFonts w:hint="eastAsia"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highlight w:val="none"/>
        </w:rPr>
      </w:r>
      <w:r/>
    </w:p>
    <w:p>
      <w:pPr>
        <w:ind w:left="420" w:firstLine="105"/>
        <w:spacing w:line="280" w:lineRule="exact"/>
        <w:rPr>
          <w:rFonts w:hint="eastAsia"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rPr>
          <w:highlight w:val="none"/>
        </w:rPr>
      </w:r>
      <w:r/>
    </w:p>
    <w:p>
      <w:pPr>
        <w:ind w:left="420" w:firstLine="105"/>
        <w:spacing w:line="280" w:lineRule="exact"/>
        <w:rPr>
          <w:rFonts w:hint="eastAsia"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2</w:t>
      </w:r>
      <w:r>
        <w:rPr>
          <w:rFonts w:hint="eastAsia" w:ascii="宋体" w:hAnsi="宋体" w:cs="宋体"/>
          <w:szCs w:val="21"/>
          <w:highlight w:val="none"/>
        </w:rPr>
        <w:t xml:space="preserve">年；</w:t>
      </w:r>
      <w:r>
        <w:rPr>
          <w:highlight w:val="none"/>
        </w:rPr>
      </w:r>
      <w:r/>
    </w:p>
    <w:p>
      <w:pPr>
        <w:ind w:left="420" w:firstLine="105"/>
        <w:spacing w:line="280" w:lineRule="exact"/>
        <w:rPr>
          <w:rFonts w:hint="eastAsia" w:ascii="宋体" w:hAnsi="宋体" w:cs="宋体"/>
          <w:szCs w:val="21"/>
          <w:highlight w:val="none"/>
        </w:rPr>
      </w:pPr>
      <w:r>
        <w:rPr>
          <w:rFonts w:hint="eastAsia" w:ascii="宋体" w:hAnsi="宋体" w:cs="宋体"/>
          <w:szCs w:val="21"/>
          <w:highlight w:val="none"/>
        </w:rPr>
        <w:t xml:space="preserve">7．其他项目保修期限约定如下：</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　　质量保修期自工程竣工验收合格之日起计算。</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三、缺陷责任期</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 xml:space="preserve">个月，缺陷责任期自工程通过竣工验收之日起计算。单位工程先于全部工程进行验收，单位工程缺陷责任期自单位工程验收合格之日起算。</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缺陷责任期终止后，发包人应退还剩余的质量保证金。</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    四、质量保修责任</w:t>
      </w:r>
      <w:r>
        <w:rPr>
          <w:highlight w:val="none"/>
        </w:rPr>
      </w:r>
      <w:r/>
    </w:p>
    <w:p>
      <w:pPr>
        <w:ind w:left="105" w:firstLine="430"/>
        <w:spacing w:line="280" w:lineRule="exact"/>
        <w:rPr>
          <w:rFonts w:hint="eastAsia"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w:t>
      </w:r>
      <w:r>
        <w:rPr>
          <w:highlight w:val="none"/>
        </w:rPr>
      </w:r>
      <w:r/>
    </w:p>
    <w:p>
      <w:pPr>
        <w:ind w:left="105" w:firstLine="430"/>
        <w:spacing w:line="280" w:lineRule="exact"/>
        <w:rPr>
          <w:rFonts w:hint="eastAsia"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rPr>
          <w:highlight w:val="none"/>
        </w:rPr>
      </w:r>
      <w:r/>
    </w:p>
    <w:p>
      <w:pPr>
        <w:ind w:left="105" w:firstLine="430"/>
        <w:spacing w:line="280" w:lineRule="exact"/>
        <w:rPr>
          <w:rFonts w:hint="eastAsia"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none"/>
        </w:rPr>
      </w:r>
      <w:r/>
    </w:p>
    <w:p>
      <w:pPr>
        <w:ind w:left="420" w:firstLine="105"/>
        <w:spacing w:line="280" w:lineRule="exact"/>
        <w:rPr>
          <w:rFonts w:hint="eastAsia" w:ascii="宋体" w:hAnsi="宋体" w:cs="宋体"/>
          <w:szCs w:val="21"/>
          <w:highlight w:val="none"/>
        </w:rPr>
        <w:outlineLvl w:val="1"/>
      </w:pPr>
      <w:r>
        <w:rPr>
          <w:highlight w:val="none"/>
        </w:rPr>
      </w:r>
      <w:bookmarkStart w:id="902" w:name="_Toc14732"/>
      <w:r>
        <w:rPr>
          <w:rFonts w:hint="eastAsia" w:ascii="宋体" w:hAnsi="宋体" w:cs="宋体"/>
          <w:szCs w:val="21"/>
          <w:highlight w:val="none"/>
        </w:rPr>
        <w:t xml:space="preserve">4．质量保修完成后，由发包人组织验收。</w:t>
      </w:r>
      <w:bookmarkEnd w:id="902"/>
      <w:r>
        <w:rPr>
          <w:highlight w:val="none"/>
        </w:rPr>
      </w:r>
      <w:r/>
    </w:p>
    <w:p>
      <w:pPr>
        <w:spacing w:line="280" w:lineRule="exact"/>
        <w:rPr>
          <w:rFonts w:hint="eastAsia" w:ascii="宋体" w:hAnsi="宋体" w:cs="宋体"/>
          <w:szCs w:val="21"/>
          <w:highlight w:val="none"/>
        </w:rPr>
        <w:outlineLvl w:val="2"/>
      </w:pPr>
      <w:r>
        <w:rPr>
          <w:rFonts w:hint="eastAsia" w:ascii="宋体" w:hAnsi="宋体" w:cs="宋体"/>
          <w:szCs w:val="21"/>
          <w:highlight w:val="none"/>
        </w:rPr>
        <w:t xml:space="preserve">　　</w:t>
      </w:r>
      <w:bookmarkStart w:id="903" w:name="_Toc30560"/>
      <w:r>
        <w:rPr>
          <w:rFonts w:hint="eastAsia" w:ascii="宋体" w:hAnsi="宋体" w:cs="宋体"/>
          <w:szCs w:val="21"/>
          <w:highlight w:val="none"/>
        </w:rPr>
        <w:t xml:space="preserve">五、保修费用</w:t>
      </w:r>
      <w:bookmarkEnd w:id="903"/>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　　保修费用由造成质量缺陷的责任方承担。</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六、双方约定的其他工程质量保修事项：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399"/>
        <w:spacing w:line="280" w:lineRule="exact"/>
        <w:rPr>
          <w:rFonts w:hint="eastAsia"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发包人(公章)：</w:t>
      </w:r>
      <w:r>
        <w:rPr>
          <w:rFonts w:hint="eastAsia" w:ascii="宋体" w:hAnsi="宋体" w:cs="宋体"/>
          <w:szCs w:val="21"/>
          <w:highlight w:val="none"/>
          <w:u w:val="single"/>
        </w:rPr>
        <w:t xml:space="preserve">        </w:t>
      </w:r>
      <w:r>
        <w:rPr>
          <w:rFonts w:hint="eastAsia" w:ascii="宋体" w:hAnsi="宋体" w:cs="宋体"/>
          <w:szCs w:val="21"/>
          <w:highlight w:val="none"/>
        </w:rPr>
        <w:t xml:space="preserve"> 承包人(公章)：</w:t>
      </w:r>
      <w:r>
        <w:rPr>
          <w:rFonts w:hint="eastAsia" w:ascii="宋体" w:hAnsi="宋体" w:cs="宋体"/>
          <w:szCs w:val="21"/>
          <w:highlight w:val="none"/>
          <w:u w:val="single"/>
        </w:rPr>
        <w:t xml:space="preserve">          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法定代表人(签字)：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法定代表人(签字)：</w:t>
      </w:r>
      <w:r>
        <w:rPr>
          <w:rFonts w:hint="eastAsia" w:ascii="宋体" w:hAnsi="宋体" w:cs="宋体"/>
          <w:szCs w:val="21"/>
          <w:highlight w:val="none"/>
          <w:u w:val="single"/>
        </w:rPr>
        <w:t xml:space="preserve">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委托代理人(签字)：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委托代理人(签字)：</w:t>
      </w:r>
      <w:r>
        <w:rPr>
          <w:rFonts w:hint="eastAsia" w:ascii="宋体" w:hAnsi="宋体" w:cs="宋体"/>
          <w:szCs w:val="21"/>
          <w:highlight w:val="none"/>
          <w:u w:val="single"/>
        </w:rPr>
        <w:t xml:space="preserve">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     </w:t>
      </w:r>
      <w:r>
        <w:rPr>
          <w:rFonts w:hint="eastAsia" w:ascii="宋体" w:hAnsi="宋体" w:cs="宋体"/>
          <w:szCs w:val="21"/>
          <w:highlight w:val="none"/>
        </w:rPr>
        <w:t xml:space="preserve"> 邮政编码：</w:t>
      </w:r>
      <w:r>
        <w:rPr>
          <w:rFonts w:hint="eastAsia" w:ascii="宋体" w:hAnsi="宋体" w:cs="宋体"/>
          <w:szCs w:val="21"/>
          <w:highlight w:val="none"/>
          <w:u w:val="single"/>
        </w:rPr>
        <w:t xml:space="preserve">   </w:t>
      </w:r>
      <w:r>
        <w:rPr>
          <w:highlight w:val="none"/>
        </w:rPr>
      </w:r>
      <w:r/>
    </w:p>
    <w:p>
      <w:pPr>
        <w:spacing w:line="280" w:lineRule="exact"/>
        <w:rPr>
          <w:rFonts w:hint="eastAsia" w:ascii="宋体" w:hAnsi="宋体" w:cs="宋体"/>
          <w:sz w:val="24"/>
          <w:szCs w:val="24"/>
          <w:highlight w:val="none"/>
        </w:rPr>
      </w:pPr>
      <w:r>
        <w:rPr>
          <w:rFonts w:hint="eastAsia" w:ascii="宋体" w:hAnsi="宋体" w:cs="宋体"/>
          <w:b/>
          <w:szCs w:val="21"/>
          <w:highlight w:val="none"/>
        </w:rPr>
        <w:br w:type="page" w:clear="all"/>
      </w:r>
      <w:r>
        <w:rPr>
          <w:rFonts w:hint="eastAsia" w:ascii="宋体" w:hAnsi="宋体" w:cs="宋体"/>
          <w:sz w:val="24"/>
          <w:szCs w:val="24"/>
          <w:highlight w:val="none"/>
        </w:rPr>
        <w:t xml:space="preserve">附件4：</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主要建设工程文件目录</w:t>
      </w:r>
      <w:r>
        <w:rPr>
          <w:highlight w:val="none"/>
        </w:rPr>
      </w:r>
      <w:r/>
    </w:p>
    <w:tbl>
      <w:tblPr>
        <w:tblStyle w:val="78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769"/>
      </w:tblGrid>
      <w:tr>
        <w:trPr>
          <w:jc w:val="center"/>
        </w:trPr>
        <w:tc>
          <w:tcPr>
            <w:tcBorders>
              <w:top w:val="single" w:color="000000" w:sz="12" w:space="0"/>
              <w:left w:val="single" w:color="000000" w:sz="12" w:space="0"/>
              <w:bottom w:val="single" w:color="000000" w:sz="6" w:space="0"/>
              <w:right w:val="single" w:color="000000" w:sz="6" w:space="0"/>
            </w:tcBorders>
            <w:tcW w:w="195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文件名称</w:t>
            </w:r>
            <w:r>
              <w:rPr>
                <w:highlight w:val="none"/>
              </w:rPr>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套数</w:t>
            </w:r>
            <w:r>
              <w:rPr>
                <w:highlight w:val="none"/>
              </w:rPr>
            </w:r>
            <w:r/>
          </w:p>
        </w:tc>
        <w:tc>
          <w:tcPr>
            <w:tcBorders>
              <w:top w:val="single" w:color="000000" w:sz="12" w:space="0"/>
              <w:left w:val="single" w:color="000000" w:sz="6" w:space="0"/>
              <w:bottom w:val="single" w:color="000000" w:sz="6" w:space="0"/>
              <w:right w:val="single" w:color="000000" w:sz="6" w:space="0"/>
            </w:tcBorders>
            <w:tcW w:w="14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费用（元）</w:t>
            </w:r>
            <w:r>
              <w:rPr>
                <w:highlight w:val="none"/>
              </w:rPr>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w:t>
            </w:r>
            <w:r>
              <w:rPr>
                <w:highlight w:val="none"/>
              </w:rPr>
            </w:r>
            <w:r/>
          </w:p>
        </w:tc>
        <w:tc>
          <w:tcPr>
            <w:tcBorders>
              <w:top w:val="single" w:color="000000" w:sz="12" w:space="0"/>
              <w:left w:val="single" w:color="000000" w:sz="6" w:space="0"/>
              <w:bottom w:val="single" w:color="000000" w:sz="6" w:space="0"/>
              <w:right w:val="single" w:color="000000" w:sz="6" w:space="0"/>
            </w:tcBorders>
            <w:tcW w:w="1450" w:type="dxa"/>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移交时间</w:t>
            </w:r>
            <w:r>
              <w:rPr>
                <w:highlight w:val="none"/>
              </w:rPr>
            </w:r>
            <w:r/>
          </w:p>
        </w:tc>
        <w:tc>
          <w:tcPr>
            <w:tcBorders>
              <w:top w:val="single" w:color="000000" w:sz="12" w:space="0"/>
              <w:left w:val="single" w:color="000000" w:sz="6" w:space="0"/>
              <w:bottom w:val="single" w:color="000000" w:sz="6" w:space="0"/>
              <w:right w:val="single" w:color="000000" w:sz="12" w:space="0"/>
            </w:tcBorders>
            <w:tcW w:w="1769" w:type="dxa"/>
            <w:textDirection w:val="lrTb"/>
            <w:noWrap w:val="false"/>
          </w:tcPr>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责任人</w:t>
            </w:r>
            <w:r>
              <w:rPr>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7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95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276"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24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17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7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7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769"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bl>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附件5：</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承包人用于本工程施工的机械设备表</w:t>
      </w:r>
      <w:r>
        <w:rPr>
          <w:highlight w:val="none"/>
        </w:rPr>
      </w:r>
      <w:r/>
    </w:p>
    <w:tbl>
      <w:tblPr>
        <w:tblStyle w:val="781"/>
        <w:tblW w:w="922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62"/>
        <w:gridCol w:w="1418"/>
        <w:gridCol w:w="850"/>
        <w:gridCol w:w="1058"/>
        <w:gridCol w:w="880"/>
        <w:gridCol w:w="1020"/>
        <w:gridCol w:w="1480"/>
        <w:gridCol w:w="1020"/>
        <w:gridCol w:w="735"/>
      </w:tblGrid>
      <w:tr>
        <w:trPr>
          <w:jc w:val="center"/>
        </w:trPr>
        <w:tc>
          <w:tcPr>
            <w:tcBorders>
              <w:top w:val="single" w:color="000000" w:sz="12" w:space="0"/>
              <w:left w:val="single" w:color="000000" w:sz="12" w:space="0"/>
              <w:bottom w:val="single" w:color="000000" w:sz="6" w:space="0"/>
              <w:right w:val="single" w:color="000000" w:sz="6" w:space="0"/>
            </w:tcBorders>
            <w:tcW w:w="76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highlight w:val="none"/>
              </w:rPr>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机械或设备名称</w:t>
            </w:r>
            <w:r>
              <w:rPr>
                <w:highlight w:val="none"/>
              </w:rPr>
            </w:r>
            <w:r/>
          </w:p>
        </w:tc>
        <w:tc>
          <w:tcPr>
            <w:tcBorders>
              <w:top w:val="single" w:color="000000" w:sz="12" w:space="0"/>
              <w:left w:val="single" w:color="000000" w:sz="6" w:space="0"/>
              <w:bottom w:val="single" w:color="000000" w:sz="6" w:space="0"/>
              <w:right w:val="single" w:color="000000" w:sz="6" w:space="0"/>
            </w:tcBorders>
            <w:tcW w:w="8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规格型号</w:t>
            </w:r>
            <w:r>
              <w:rPr>
                <w:highlight w:val="none"/>
              </w:rPr>
            </w:r>
            <w:r/>
          </w:p>
        </w:tc>
        <w:tc>
          <w:tcPr>
            <w:tcBorders>
              <w:top w:val="single" w:color="000000" w:sz="12" w:space="0"/>
              <w:left w:val="single" w:color="000000" w:sz="6" w:space="0"/>
              <w:bottom w:val="single" w:color="000000" w:sz="6" w:space="0"/>
              <w:right w:val="single" w:color="000000" w:sz="6" w:space="0"/>
            </w:tcBorders>
            <w:tcW w:w="105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highlight w:val="none"/>
              </w:rPr>
            </w:r>
            <w:r/>
          </w:p>
        </w:tc>
        <w:tc>
          <w:tcPr>
            <w:tcBorders>
              <w:top w:val="single" w:color="000000" w:sz="12" w:space="0"/>
              <w:left w:val="single" w:color="000000" w:sz="6" w:space="0"/>
              <w:bottom w:val="single" w:color="000000" w:sz="6" w:space="0"/>
              <w:right w:val="single" w:color="000000" w:sz="6" w:space="0"/>
            </w:tcBorders>
            <w:tcW w:w="88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产地</w:t>
            </w:r>
            <w:r>
              <w:rPr>
                <w:highlight w:val="none"/>
              </w:rPr>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制造年份</w:t>
            </w:r>
            <w:r>
              <w:rPr>
                <w:highlight w:val="none"/>
              </w:rPr>
            </w:r>
            <w:r/>
          </w:p>
        </w:tc>
        <w:tc>
          <w:tcPr>
            <w:tcBorders>
              <w:top w:val="single" w:color="000000" w:sz="12" w:space="0"/>
              <w:left w:val="single" w:color="000000" w:sz="6" w:space="0"/>
              <w:bottom w:val="single" w:color="000000" w:sz="6" w:space="0"/>
              <w:right w:val="single" w:color="000000" w:sz="6" w:space="0"/>
            </w:tcBorders>
            <w:tcW w:w="148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额定功率(kW)</w:t>
            </w:r>
            <w:r>
              <w:rPr>
                <w:highlight w:val="none"/>
              </w:rPr>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生产能力</w:t>
            </w:r>
            <w:r>
              <w:rPr>
                <w:highlight w:val="none"/>
              </w:rPr>
            </w:r>
            <w:r/>
          </w:p>
        </w:tc>
        <w:tc>
          <w:tcPr>
            <w:tcBorders>
              <w:top w:val="single" w:color="000000" w:sz="12" w:space="0"/>
              <w:left w:val="single" w:color="000000" w:sz="6" w:space="0"/>
              <w:bottom w:val="single" w:color="000000" w:sz="6" w:space="0"/>
              <w:right w:val="single" w:color="000000" w:sz="12" w:space="0"/>
            </w:tcBorders>
            <w:tcW w:w="73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76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73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76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05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8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8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73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76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73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762"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73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bl>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附件6：</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承包人主要施工管理人员表</w:t>
      </w:r>
      <w:r>
        <w:rPr>
          <w:highlight w:val="none"/>
        </w:rPr>
      </w:r>
      <w:r/>
    </w:p>
    <w:tbl>
      <w:tblPr>
        <w:tblStyle w:val="781"/>
        <w:tblW w:w="9344"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575"/>
        <w:gridCol w:w="1418"/>
        <w:gridCol w:w="1134"/>
        <w:gridCol w:w="1134"/>
        <w:gridCol w:w="4083"/>
      </w:tblGrid>
      <w:tr>
        <w:trPr>
          <w:jc w:val="center"/>
        </w:trPr>
        <w:tc>
          <w:tcPr>
            <w:tcBorders>
              <w:top w:val="single" w:color="000000" w:sz="12" w:space="0"/>
              <w:left w:val="single" w:color="000000" w:sz="12" w:space="0"/>
              <w:bottom w:val="single" w:color="000000" w:sz="6"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highlight w:val="none"/>
              </w:rPr>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highlight w:val="none"/>
              </w:rPr>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rPr>
                <w:highlight w:val="none"/>
              </w:rPr>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rPr>
                <w:highlight w:val="none"/>
              </w:rPr>
            </w:r>
            <w:r/>
          </w:p>
        </w:tc>
        <w:tc>
          <w:tcPr>
            <w:tcBorders>
              <w:top w:val="single" w:color="000000" w:sz="12"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主要资历、经验及承担过的项目</w:t>
            </w:r>
            <w:r>
              <w:rPr>
                <w:highlight w:val="none"/>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3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一、总部人员</w:t>
            </w:r>
            <w:r>
              <w:rPr>
                <w:highlight w:val="none"/>
              </w:rPr>
            </w:r>
            <w:r/>
          </w:p>
        </w:tc>
      </w:tr>
      <w:tr>
        <w:trPr>
          <w:jc w:val="center"/>
        </w:trPr>
        <w:tc>
          <w:tcPr>
            <w:tcBorders>
              <w:top w:val="none" w:color="000000" w:sz="4" w:space="0"/>
              <w:left w:val="single" w:color="000000" w:sz="12" w:space="0"/>
              <w:bottom w:val="none" w:color="000000" w:sz="4"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项目主管</w:t>
            </w:r>
            <w:r>
              <w:rPr>
                <w:highlight w:val="none"/>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Pr>
        <w:tc>
          <w:tcPr>
            <w:tcBorders>
              <w:top w:val="single" w:color="000000" w:sz="6" w:space="0"/>
              <w:left w:val="single" w:color="000000" w:sz="12" w:space="0"/>
              <w:bottom w:val="none" w:color="000000" w:sz="4"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Pr>
        <w:tc>
          <w:tcPr>
            <w:tcBorders>
              <w:top w:val="none" w:color="000000" w:sz="4" w:space="0"/>
              <w:left w:val="single" w:color="000000" w:sz="12" w:space="0"/>
              <w:bottom w:val="none" w:color="000000" w:sz="4"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Pr>
        <w:tc>
          <w:tcPr>
            <w:tcBorders>
              <w:top w:val="none" w:color="000000" w:sz="4" w:space="0"/>
              <w:left w:val="single" w:color="000000" w:sz="12" w:space="0"/>
              <w:bottom w:val="none" w:color="000000" w:sz="4"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34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二、现场人员</w:t>
            </w:r>
            <w:r>
              <w:rPr>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w:t>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项目副经理</w:t>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技术负责人</w:t>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造价管理</w:t>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质量管理</w:t>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材料管理</w:t>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计划管理</w:t>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1575"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安全管理</w:t>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575" w:type="dxa"/>
            <w:vAlign w:val="center"/>
            <w:vMerge w:val="restart"/>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rPr>
                <w:highlight w:val="none"/>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575"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none" w:color="000000" w:sz="4"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575"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08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bl>
    <w:p>
      <w:pPr>
        <w:spacing w:line="300" w:lineRule="exact"/>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t xml:space="preserve">附件7：</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分包人主要施工管理人员表</w:t>
      </w:r>
      <w:r>
        <w:rPr>
          <w:highlight w:val="none"/>
        </w:rPr>
      </w:r>
      <w:r/>
    </w:p>
    <w:tbl>
      <w:tblPr>
        <w:tblStyle w:val="781"/>
        <w:tblW w:w="94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jc w:val="center"/>
          <w:trHeight w:val="280"/>
        </w:trPr>
        <w:tc>
          <w:tcPr>
            <w:tcBorders>
              <w:top w:val="single" w:color="000000" w:sz="12" w:space="0"/>
              <w:left w:val="single" w:color="000000" w:sz="12" w:space="0"/>
              <w:bottom w:val="single" w:color="000000" w:sz="6"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highlight w:val="none"/>
              </w:rPr>
            </w:r>
            <w:r/>
          </w:p>
        </w:tc>
        <w:tc>
          <w:tcPr>
            <w:tcBorders>
              <w:top w:val="single" w:color="000000" w:sz="12"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highlight w:val="none"/>
              </w:rPr>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rPr>
                <w:highlight w:val="none"/>
              </w:rPr>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rPr>
                <w:highlight w:val="none"/>
              </w:rPr>
            </w:r>
            <w:r/>
          </w:p>
        </w:tc>
        <w:tc>
          <w:tcPr>
            <w:tcBorders>
              <w:top w:val="single" w:color="000000" w:sz="12"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主要资历、经验及承担过的项目</w:t>
            </w:r>
            <w:r>
              <w:rPr>
                <w:highlight w:val="none"/>
              </w:rPr>
            </w:r>
            <w:r/>
          </w:p>
        </w:tc>
      </w:tr>
      <w:tr>
        <w:trPr>
          <w:jc w:val="center"/>
          <w:trHeight w:val="293"/>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一、总部人员</w:t>
            </w:r>
            <w:r>
              <w:rPr>
                <w:highlight w:val="none"/>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项目主管</w:t>
            </w:r>
            <w:r>
              <w:rPr>
                <w:highlight w:val="none"/>
              </w:rPr>
            </w:r>
            <w:r/>
          </w:p>
        </w:tc>
        <w:tc>
          <w:tcPr>
            <w:tcBorders>
              <w:top w:val="none" w:color="000000" w:sz="4"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267"/>
        </w:trPr>
        <w:tc>
          <w:tcPr>
            <w:tcBorders>
              <w:top w:val="single" w:color="000000" w:sz="6" w:space="0"/>
              <w:left w:val="single" w:color="000000" w:sz="12" w:space="0"/>
              <w:bottom w:val="none" w:color="000000" w:sz="4"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267"/>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二、现场人员</w:t>
            </w:r>
            <w:r>
              <w:rPr>
                <w:highlight w:val="none"/>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w:t>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项目副经理</w:t>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技术负责人</w:t>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造价管理</w:t>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质量管理</w:t>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材料管理</w:t>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计划管理</w:t>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安全管理</w:t>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cantSplit/>
          <w:jc w:val="center"/>
          <w:trHeight w:val="267"/>
        </w:trPr>
        <w:tc>
          <w:tcPr>
            <w:tcBorders>
              <w:top w:val="single" w:color="000000" w:sz="6" w:space="0"/>
              <w:left w:val="single" w:color="000000" w:sz="12" w:space="0"/>
              <w:bottom w:val="single" w:color="000000" w:sz="12" w:space="0"/>
              <w:right w:val="single" w:color="000000" w:sz="6" w:space="0"/>
            </w:tcBorders>
            <w:tcW w:w="1804" w:type="dxa"/>
            <w:vAlign w:val="center"/>
            <w:vMerge w:val="restart"/>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rPr>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none" w:color="000000" w:sz="4"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cantSplit/>
          <w:jc w:val="center"/>
          <w:trHeight w:val="305"/>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12" w:space="0"/>
              <w:right w:val="single" w:color="000000" w:sz="6" w:space="0"/>
            </w:tcBorders>
            <w:tcW w:w="1367"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12" w:space="0"/>
              <w:right w:val="single" w:color="000000" w:sz="12" w:space="0"/>
            </w:tcBorders>
            <w:tcW w:w="4100" w:type="dxa"/>
            <w:vAlign w:val="center"/>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bl>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附件8：</w:t>
      </w:r>
      <w:r>
        <w:rPr>
          <w:highlight w:val="none"/>
        </w:rPr>
      </w:r>
      <w:r/>
    </w:p>
    <w:p>
      <w:pPr>
        <w:jc w:val="center"/>
        <w:spacing w:line="280" w:lineRule="exact"/>
        <w:rPr>
          <w:rFonts w:hint="eastAsia" w:ascii="宋体" w:hAnsi="宋体" w:cs="宋体"/>
          <w:szCs w:val="21"/>
          <w:highlight w:val="none"/>
        </w:rPr>
      </w:pPr>
      <w:r>
        <w:rPr>
          <w:rFonts w:hint="eastAsia" w:ascii="宋体" w:hAnsi="宋体" w:cs="宋体"/>
          <w:szCs w:val="21"/>
          <w:highlight w:val="none"/>
        </w:rPr>
        <w:t xml:space="preserve">履约担保</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rPr>
        <w:t xml:space="preserve">（发包人名称）：</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鉴于</w:t>
      </w:r>
      <w:r>
        <w:rPr>
          <w:rFonts w:hint="eastAsia" w:ascii="宋体" w:hAnsi="宋体" w:cs="宋体"/>
          <w:szCs w:val="21"/>
          <w:highlight w:val="none"/>
          <w:u w:val="single"/>
        </w:rPr>
        <w:t xml:space="preserve">                </w:t>
      </w:r>
      <w:r>
        <w:rPr>
          <w:rFonts w:hint="eastAsia" w:ascii="宋体" w:hAnsi="宋体" w:cs="宋体"/>
          <w:szCs w:val="21"/>
          <w:highlight w:val="none"/>
        </w:rPr>
        <w:t xml:space="preserve">（发包人名称，以下简称“发包人”）与</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（承包人名称）（以下称“承包人”）于</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日就</w:t>
      </w:r>
      <w:r>
        <w:rPr>
          <w:rFonts w:hint="eastAsia" w:ascii="宋体" w:hAnsi="宋体" w:cs="宋体"/>
          <w:szCs w:val="21"/>
          <w:highlight w:val="none"/>
          <w:u w:val="single"/>
        </w:rPr>
        <w:t xml:space="preserve">                         </w:t>
      </w:r>
      <w:r>
        <w:rPr>
          <w:rFonts w:hint="eastAsia" w:ascii="宋体" w:hAnsi="宋体" w:cs="宋体"/>
          <w:szCs w:val="21"/>
          <w:highlight w:val="none"/>
        </w:rPr>
        <w:t xml:space="preserve">（工程名称）施工及有关事项协商一致共同签订《建设工程施工合同》。我方愿意无条件地、不可撤销地就承包人履行与你方签订的合同，向你方提供连带责任担保。 </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1. 担保金额人民币（大写）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2. 担保有效期自你方与承包人签订的合同生效之日起至你方签发或应签发工程接收证书之日止。</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3. 在本担保有效期内，因承包人违反合同约定的义务给你方造成经济损失时，我方在收到你方以书面形式提出的在担保金额内的赔偿要求后，在7天内无条件支付。</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4. 你方和承包人按合同约定变更合同时，我方承担本担保规定的义务不变。</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5. 因本保函发生的纠纷，可由双方协商解决，协商不成的，任何一方均可提请</w:t>
      </w:r>
      <w:r>
        <w:rPr>
          <w:rFonts w:hint="eastAsia" w:ascii="宋体" w:hAnsi="宋体" w:cs="宋体"/>
          <w:szCs w:val="21"/>
          <w:highlight w:val="none"/>
          <w:u w:val="single"/>
        </w:rPr>
        <w:t xml:space="preserve">        </w:t>
      </w:r>
      <w:r>
        <w:rPr>
          <w:rFonts w:hint="eastAsia" w:ascii="宋体" w:hAnsi="宋体" w:cs="宋体"/>
          <w:szCs w:val="21"/>
          <w:highlight w:val="none"/>
        </w:rPr>
        <w:t xml:space="preserve">仲裁委员会仲裁。</w:t>
      </w:r>
      <w:r>
        <w:rPr>
          <w:highlight w:val="none"/>
        </w:rPr>
      </w:r>
      <w:r/>
    </w:p>
    <w:p>
      <w:pPr>
        <w:ind w:firstLine="420"/>
        <w:spacing w:line="280" w:lineRule="exact"/>
        <w:rPr>
          <w:rFonts w:hint="eastAsia" w:ascii="宋体" w:hAnsi="宋体" w:cs="宋体"/>
          <w:szCs w:val="21"/>
          <w:highlight w:val="none"/>
        </w:rPr>
      </w:pPr>
      <w:r>
        <w:rPr>
          <w:rFonts w:hint="eastAsia" w:ascii="宋体" w:hAnsi="宋体" w:cs="宋体"/>
          <w:szCs w:val="21"/>
          <w:highlight w:val="none"/>
        </w:rPr>
        <w:t xml:space="preserve">6. 本保函自我方法定代表人（或其授权代理人）签字并加盖公章之日起生效。</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担 保 人：</w:t>
      </w:r>
      <w:r>
        <w:rPr>
          <w:rFonts w:hint="eastAsia" w:ascii="宋体" w:hAnsi="宋体" w:cs="宋体"/>
          <w:szCs w:val="21"/>
          <w:highlight w:val="none"/>
          <w:u w:val="single"/>
        </w:rPr>
        <w:t xml:space="preserve">                           </w:t>
      </w:r>
      <w:r>
        <w:rPr>
          <w:rFonts w:hint="eastAsia" w:ascii="宋体" w:hAnsi="宋体" w:cs="宋体"/>
          <w:szCs w:val="21"/>
          <w:highlight w:val="none"/>
        </w:rPr>
        <w:t xml:space="preserve">（盖单位章）</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法定代表人或其委托代理人：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highlight w:val="none"/>
        </w:rPr>
      </w:r>
      <w:r/>
    </w:p>
    <w:p>
      <w:pPr>
        <w:spacing w:line="280" w:lineRule="exact"/>
        <w:rPr>
          <w:rFonts w:hint="eastAsia" w:ascii="宋体" w:hAnsi="宋体" w:cs="宋体"/>
          <w:szCs w:val="21"/>
          <w:highlight w:val="none"/>
        </w:rPr>
      </w:pP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                                      </w:t>
      </w:r>
      <w:r>
        <w:rPr>
          <w:highlight w:val="none"/>
        </w:rPr>
      </w:r>
      <w:r/>
    </w:p>
    <w:p>
      <w:pPr>
        <w:spacing w:line="280" w:lineRule="exact"/>
        <w:rPr>
          <w:rFonts w:hint="eastAsia" w:ascii="宋体" w:hAnsi="宋体" w:cs="宋体"/>
          <w:szCs w:val="21"/>
          <w:highlight w:val="none"/>
          <w:u w:val="singl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highlight w:val="none"/>
        </w:rPr>
      </w:r>
      <w:r/>
    </w:p>
    <w:p>
      <w:pPr>
        <w:spacing w:line="280" w:lineRule="exact"/>
        <w:rPr>
          <w:rFonts w:hint="eastAsia" w:ascii="宋体" w:hAnsi="宋体" w:cs="宋体"/>
          <w:szCs w:val="21"/>
          <w:highlight w:val="none"/>
          <w:u w:val="singl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highlight w:val="none"/>
        </w:rPr>
      </w:r>
      <w:r/>
    </w:p>
    <w:p>
      <w:pPr>
        <w:ind w:left="1899" w:hanging="1329"/>
        <w:spacing w:line="28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jc w:val="left"/>
        <w:spacing w:line="300" w:lineRule="exact"/>
        <w:rPr>
          <w:rFonts w:hint="eastAsia" w:ascii="宋体" w:hAnsi="宋体" w:cs="宋体"/>
          <w:szCs w:val="21"/>
          <w:highlight w:val="none"/>
        </w:rPr>
      </w:pPr>
      <w:r>
        <w:rPr>
          <w:rFonts w:hint="eastAsia" w:ascii="宋体" w:hAnsi="宋体" w:cs="宋体"/>
          <w:szCs w:val="21"/>
          <w:highlight w:val="none"/>
        </w:rPr>
        <w:t xml:space="preserve">附件9 ：</w:t>
      </w:r>
      <w:r>
        <w:rPr>
          <w:highlight w:val="none"/>
        </w:rPr>
      </w:r>
      <w:r/>
    </w:p>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预付款担保</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rPr>
        <w:t xml:space="preserve"> （发包人名称）：</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根据</w:t>
      </w:r>
      <w:r>
        <w:rPr>
          <w:rFonts w:hint="eastAsia" w:ascii="宋体" w:hAnsi="宋体" w:cs="宋体"/>
          <w:szCs w:val="21"/>
          <w:highlight w:val="none"/>
          <w:u w:val="single"/>
        </w:rPr>
        <w:t xml:space="preserve">                 </w:t>
      </w:r>
      <w:r>
        <w:rPr>
          <w:rFonts w:hint="eastAsia" w:ascii="宋体" w:hAnsi="宋体" w:cs="宋体"/>
          <w:szCs w:val="21"/>
          <w:highlight w:val="none"/>
        </w:rPr>
        <w:t xml:space="preserve">（承包人名称）（以下称“承包人”）与</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（发包人名称）（以下简称“发包人”）</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于</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日签订的</w:t>
      </w:r>
      <w:r>
        <w:rPr>
          <w:rFonts w:hint="eastAsia" w:ascii="宋体" w:hAnsi="宋体" w:cs="宋体"/>
          <w:szCs w:val="21"/>
          <w:highlight w:val="none"/>
          <w:u w:val="single"/>
        </w:rPr>
        <w:t xml:space="preserve">                   </w:t>
      </w:r>
      <w:r>
        <w:rPr>
          <w:rFonts w:hint="eastAsia" w:ascii="宋体" w:hAnsi="宋体" w:cs="宋体"/>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1. 担保金额人民币（大写）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2. 担保有效期自预付款支付给承包人起生效，至你方签发的进度款支付证书说明已完全扣清止。</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4. 你方和承包人按合同约定变更合同时，我方承担本保函规定的义务不变。</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5. 因本保函发生的纠纷，可由双方协商解决，协商不成的，任何一方均可提请</w:t>
      </w:r>
      <w:r>
        <w:rPr>
          <w:rFonts w:hint="eastAsia" w:ascii="宋体" w:hAnsi="宋体" w:cs="宋体"/>
          <w:szCs w:val="21"/>
          <w:highlight w:val="none"/>
          <w:u w:val="single"/>
        </w:rPr>
        <w:t xml:space="preserve">        </w:t>
      </w:r>
      <w:r>
        <w:rPr>
          <w:rFonts w:hint="eastAsia" w:ascii="宋体" w:hAnsi="宋体" w:cs="宋体"/>
          <w:szCs w:val="21"/>
          <w:highlight w:val="none"/>
        </w:rPr>
        <w:t xml:space="preserve">仲裁委员会仲裁。</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6. 本保函自我方法定代表人（或其授权代理人）签字并加盖公章之日起生效。</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担保人：</w:t>
      </w:r>
      <w:r>
        <w:rPr>
          <w:rFonts w:hint="eastAsia" w:ascii="宋体" w:hAnsi="宋体" w:cs="宋体"/>
          <w:szCs w:val="21"/>
          <w:highlight w:val="none"/>
          <w:u w:val="single"/>
        </w:rPr>
        <w:t xml:space="preserve">                          </w:t>
      </w:r>
      <w:r>
        <w:rPr>
          <w:rFonts w:hint="eastAsia" w:ascii="宋体" w:hAnsi="宋体" w:cs="宋体"/>
          <w:szCs w:val="21"/>
          <w:highlight w:val="none"/>
        </w:rPr>
        <w:t xml:space="preserve">（盖单位章）</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法定代表人或其委托代理人：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highlight w:val="none"/>
        </w:rPr>
      </w:r>
      <w:r/>
    </w:p>
    <w:p>
      <w:pPr>
        <w:spacing w:line="300" w:lineRule="exact"/>
        <w:rPr>
          <w:rFonts w:hint="eastAsia" w:ascii="宋体" w:hAnsi="宋体" w:cs="宋体"/>
          <w:szCs w:val="21"/>
          <w:highlight w:val="none"/>
          <w:u w:val="single"/>
        </w:rPr>
      </w:pPr>
      <w:r>
        <w:rPr>
          <w:rFonts w:hint="eastAsia" w:ascii="宋体" w:hAnsi="宋体" w:cs="宋体"/>
          <w:szCs w:val="21"/>
          <w:highlight w:val="none"/>
        </w:rPr>
        <w:t xml:space="preserve">邮政编码：</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highlight w:val="none"/>
        </w:rPr>
      </w:r>
      <w:r/>
    </w:p>
    <w:p>
      <w:pPr>
        <w:spacing w:line="300" w:lineRule="exact"/>
        <w:rPr>
          <w:rFonts w:hint="eastAsia" w:ascii="宋体" w:hAnsi="宋体" w:cs="宋体"/>
          <w:szCs w:val="21"/>
          <w:highlight w:val="none"/>
          <w:u w:val="single"/>
        </w:rPr>
      </w:pPr>
      <w:r>
        <w:rPr>
          <w:rFonts w:hint="eastAsia" w:ascii="宋体" w:hAnsi="宋体" w:cs="宋体"/>
          <w:szCs w:val="21"/>
          <w:highlight w:val="none"/>
        </w:rPr>
        <w:t xml:space="preserve">电    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highlight w:val="none"/>
        </w:rPr>
      </w:r>
      <w:r/>
    </w:p>
    <w:p>
      <w:pPr>
        <w:spacing w:line="300" w:lineRule="exact"/>
        <w:rPr>
          <w:rFonts w:hint="eastAsia" w:ascii="宋体" w:hAnsi="宋体" w:cs="宋体"/>
          <w:szCs w:val="21"/>
          <w:highlight w:val="none"/>
          <w:u w:val="single"/>
        </w:rPr>
      </w:pPr>
      <w:r>
        <w:rPr>
          <w:rFonts w:hint="eastAsia" w:ascii="宋体" w:hAnsi="宋体" w:cs="宋体"/>
          <w:szCs w:val="21"/>
          <w:highlight w:val="none"/>
        </w:rPr>
        <w:t xml:space="preserve">传    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highlight w:val="none"/>
        </w:rPr>
      </w:r>
      <w:r/>
    </w:p>
    <w:p>
      <w:pPr>
        <w:spacing w:line="300" w:lineRule="exact"/>
        <w:rPr>
          <w:rFonts w:hint="eastAsia" w:ascii="宋体" w:hAnsi="宋体" w:cs="宋体"/>
          <w:szCs w:val="21"/>
          <w:highlight w:val="none"/>
          <w:u w:val="single"/>
        </w:rPr>
      </w:pPr>
      <w:r>
        <w:rPr>
          <w:rFonts w:hint="eastAsia" w:ascii="宋体" w:hAnsi="宋体" w:cs="宋体"/>
          <w:szCs w:val="21"/>
          <w:highlight w:val="none"/>
        </w:rPr>
        <w:t xml:space="preserve"> </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jc w:val="left"/>
        <w:spacing w:line="300" w:lineRule="exact"/>
        <w:rPr>
          <w:rFonts w:hint="eastAsia" w:ascii="宋体" w:hAnsi="宋体" w:cs="宋体"/>
          <w:szCs w:val="21"/>
          <w:highlight w:val="none"/>
        </w:rPr>
      </w:pPr>
      <w:r>
        <w:rPr>
          <w:rFonts w:hint="eastAsia" w:ascii="宋体" w:hAnsi="宋体" w:cs="宋体"/>
          <w:szCs w:val="21"/>
          <w:highlight w:val="none"/>
        </w:rPr>
        <w:t xml:space="preserve">附件10:</w:t>
      </w:r>
      <w:r>
        <w:rPr>
          <w:highlight w:val="none"/>
        </w:rPr>
      </w:r>
      <w:r/>
    </w:p>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支付担保</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（承包人）：</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鉴于你方作为承包人已经与</w:t>
      </w:r>
      <w:r>
        <w:rPr>
          <w:rFonts w:hint="eastAsia" w:ascii="宋体" w:hAnsi="宋体" w:cs="宋体"/>
          <w:szCs w:val="21"/>
          <w:highlight w:val="none"/>
          <w:u w:val="single"/>
        </w:rPr>
        <w:t xml:space="preserve">             </w:t>
      </w:r>
      <w:r>
        <w:rPr>
          <w:rFonts w:hint="eastAsia" w:ascii="宋体" w:hAnsi="宋体" w:cs="宋体"/>
          <w:szCs w:val="21"/>
          <w:highlight w:val="none"/>
        </w:rPr>
        <w:t xml:space="preserve">（发包人名称）（以下称“发包人”）于</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日签订了</w:t>
      </w:r>
      <w:r>
        <w:rPr>
          <w:rFonts w:hint="eastAsia" w:ascii="宋体" w:hAnsi="宋体" w:cs="宋体"/>
          <w:szCs w:val="21"/>
          <w:highlight w:val="none"/>
          <w:u w:val="single"/>
        </w:rPr>
        <w:t xml:space="preserve">             </w:t>
      </w:r>
      <w:r>
        <w:rPr>
          <w:rFonts w:hint="eastAsia" w:ascii="宋体" w:hAnsi="宋体" w:cs="宋体"/>
          <w:szCs w:val="21"/>
          <w:highlight w:val="none"/>
        </w:rPr>
        <w:t xml:space="preserve">（工程名称）《建设工程施工合同》（以下称“主合同”），应发包人的申请，我方愿就发包人履行主合同约定的工程款支付义务以保证的方式向你方提供如下担保：</w:t>
      </w:r>
      <w:r>
        <w:rPr>
          <w:highlight w:val="none"/>
        </w:rPr>
      </w:r>
      <w:r/>
    </w:p>
    <w:p>
      <w:pPr>
        <w:ind w:firstLine="420"/>
        <w:spacing w:line="300" w:lineRule="exact"/>
        <w:rPr>
          <w:rFonts w:hint="eastAsia" w:ascii="宋体" w:hAnsi="宋体" w:cs="宋体"/>
          <w:szCs w:val="21"/>
          <w:highlight w:val="none"/>
        </w:rPr>
        <w:outlineLvl w:val="2"/>
      </w:pPr>
      <w:r>
        <w:rPr>
          <w:highlight w:val="none"/>
        </w:rPr>
      </w:r>
      <w:bookmarkStart w:id="904" w:name="_Toc19016"/>
      <w:r>
        <w:rPr>
          <w:rFonts w:hint="eastAsia" w:ascii="宋体" w:hAnsi="宋体" w:cs="宋体"/>
          <w:szCs w:val="21"/>
          <w:highlight w:val="none"/>
        </w:rPr>
        <w:t xml:space="preserve">一、保证的范围及保证金额</w:t>
      </w:r>
      <w:bookmarkEnd w:id="904"/>
      <w:r>
        <w:rPr>
          <w:highlight w:val="none"/>
        </w:rPr>
      </w:r>
      <w:r/>
    </w:p>
    <w:p>
      <w:pPr>
        <w:ind w:firstLine="420"/>
        <w:spacing w:line="300" w:lineRule="exact"/>
        <w:rPr>
          <w:rFonts w:hint="eastAsia" w:ascii="宋体" w:hAnsi="宋体" w:cs="宋体"/>
          <w:szCs w:val="21"/>
          <w:highlight w:val="none"/>
        </w:rPr>
        <w:outlineLvl w:val="1"/>
      </w:pPr>
      <w:r>
        <w:rPr>
          <w:highlight w:val="none"/>
        </w:rPr>
      </w:r>
      <w:bookmarkStart w:id="905" w:name="_Toc24794"/>
      <w:r>
        <w:rPr>
          <w:rFonts w:hint="eastAsia" w:ascii="宋体" w:hAnsi="宋体" w:cs="宋体"/>
          <w:szCs w:val="21"/>
          <w:highlight w:val="none"/>
        </w:rPr>
        <w:t xml:space="preserve">1. 我方的保证范围是主合同约定的工程款。</w:t>
      </w:r>
      <w:bookmarkEnd w:id="905"/>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2. 本保函所称主合同约定的工程款是指主合同约定的除工程质量保证金以外的合同价款。</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3. 我方保证的金额是主合同约定的工程款的</w:t>
      </w:r>
      <w:r>
        <w:rPr>
          <w:rFonts w:hint="eastAsia" w:ascii="宋体" w:hAnsi="宋体" w:cs="宋体"/>
          <w:szCs w:val="21"/>
          <w:highlight w:val="none"/>
          <w:u w:val="single"/>
        </w:rPr>
        <w:t xml:space="preserve">      </w:t>
      </w:r>
      <w:r>
        <w:rPr>
          <w:rFonts w:hint="eastAsia" w:ascii="宋体" w:hAnsi="宋体" w:cs="宋体"/>
          <w:szCs w:val="21"/>
          <w:highlight w:val="none"/>
        </w:rPr>
        <w:t xml:space="preserve">%，数额最高不超过人民币元（大写：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00" w:lineRule="exact"/>
        <w:rPr>
          <w:rFonts w:hint="eastAsia" w:ascii="宋体" w:hAnsi="宋体" w:cs="宋体"/>
          <w:szCs w:val="21"/>
          <w:highlight w:val="none"/>
        </w:rPr>
        <w:outlineLvl w:val="2"/>
      </w:pPr>
      <w:r>
        <w:rPr>
          <w:highlight w:val="none"/>
        </w:rPr>
      </w:r>
      <w:bookmarkStart w:id="906" w:name="_Toc4600"/>
      <w:r>
        <w:rPr>
          <w:rFonts w:hint="eastAsia" w:ascii="宋体" w:hAnsi="宋体" w:cs="宋体"/>
          <w:szCs w:val="21"/>
          <w:highlight w:val="none"/>
        </w:rPr>
        <w:t xml:space="preserve">二、保证的方式及保证期间</w:t>
      </w:r>
      <w:bookmarkEnd w:id="906"/>
      <w:r>
        <w:rPr>
          <w:highlight w:val="none"/>
        </w:rPr>
      </w:r>
      <w:r/>
    </w:p>
    <w:p>
      <w:pPr>
        <w:ind w:firstLine="420"/>
        <w:spacing w:line="300" w:lineRule="exact"/>
        <w:rPr>
          <w:rFonts w:hint="eastAsia" w:ascii="宋体" w:hAnsi="宋体" w:cs="宋体"/>
          <w:szCs w:val="21"/>
          <w:highlight w:val="none"/>
        </w:rPr>
        <w:outlineLvl w:val="1"/>
      </w:pPr>
      <w:r>
        <w:rPr>
          <w:highlight w:val="none"/>
        </w:rPr>
      </w:r>
      <w:bookmarkStart w:id="907" w:name="_Toc30734"/>
      <w:r>
        <w:rPr>
          <w:rFonts w:hint="eastAsia" w:ascii="宋体" w:hAnsi="宋体" w:cs="宋体"/>
          <w:szCs w:val="21"/>
          <w:highlight w:val="none"/>
        </w:rPr>
        <w:t xml:space="preserve">1. 我方保证的方式为：连带责任保证。</w:t>
      </w:r>
      <w:bookmarkEnd w:id="907"/>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2. 我方保证的期间为：自本合同生效之日起至主合同约定的工程款支付完毕之日后</w:t>
      </w:r>
      <w:r>
        <w:rPr>
          <w:rFonts w:hint="eastAsia" w:ascii="宋体" w:hAnsi="宋体" w:cs="宋体"/>
          <w:szCs w:val="21"/>
          <w:highlight w:val="none"/>
          <w:u w:val="single"/>
        </w:rPr>
        <w:t xml:space="preserve">    </w:t>
      </w:r>
      <w:r>
        <w:rPr>
          <w:rFonts w:hint="eastAsia" w:ascii="宋体" w:hAnsi="宋体" w:cs="宋体"/>
          <w:szCs w:val="21"/>
          <w:highlight w:val="none"/>
        </w:rPr>
        <w:t xml:space="preserve">日内。</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3. 你方与发包人协议变更工程款支付日期的，经我方书面同意后，保证期间按照变更后的支付日期做相应调整。</w:t>
      </w:r>
      <w:r>
        <w:rPr>
          <w:highlight w:val="none"/>
        </w:rPr>
      </w:r>
      <w:r/>
    </w:p>
    <w:p>
      <w:pPr>
        <w:ind w:firstLine="420"/>
        <w:spacing w:line="300" w:lineRule="exact"/>
        <w:rPr>
          <w:rFonts w:hint="eastAsia" w:ascii="宋体" w:hAnsi="宋体" w:cs="宋体"/>
          <w:szCs w:val="21"/>
          <w:highlight w:val="none"/>
        </w:rPr>
        <w:outlineLvl w:val="2"/>
      </w:pPr>
      <w:r>
        <w:rPr>
          <w:highlight w:val="none"/>
        </w:rPr>
      </w:r>
      <w:bookmarkStart w:id="908" w:name="_Toc4523"/>
      <w:r>
        <w:rPr>
          <w:rFonts w:hint="eastAsia" w:ascii="宋体" w:hAnsi="宋体" w:cs="宋体"/>
          <w:szCs w:val="21"/>
          <w:highlight w:val="none"/>
        </w:rPr>
        <w:t xml:space="preserve">三、承担保证责任的形式</w:t>
      </w:r>
      <w:bookmarkEnd w:id="908"/>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我方承担保证责任的形式是代为支付。发包人未按主合同约定向你方支付工程款的，由我方在保证金额内代为支付。</w:t>
      </w:r>
      <w:r>
        <w:rPr>
          <w:highlight w:val="none"/>
        </w:rPr>
      </w:r>
      <w:r/>
    </w:p>
    <w:p>
      <w:pPr>
        <w:ind w:firstLine="420"/>
        <w:spacing w:line="300" w:lineRule="exact"/>
        <w:rPr>
          <w:rFonts w:hint="eastAsia" w:ascii="宋体" w:hAnsi="宋体" w:cs="宋体"/>
          <w:szCs w:val="21"/>
          <w:highlight w:val="none"/>
        </w:rPr>
        <w:outlineLvl w:val="2"/>
      </w:pPr>
      <w:r>
        <w:rPr>
          <w:highlight w:val="none"/>
        </w:rPr>
      </w:r>
      <w:bookmarkStart w:id="909" w:name="_Toc30885"/>
      <w:r>
        <w:rPr>
          <w:rFonts w:hint="eastAsia" w:ascii="宋体" w:hAnsi="宋体" w:cs="宋体"/>
          <w:szCs w:val="21"/>
          <w:highlight w:val="none"/>
        </w:rPr>
        <w:t xml:space="preserve">四、代偿的安排</w:t>
      </w:r>
      <w:bookmarkEnd w:id="909"/>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1. 你方要求我方承担保证责任的，应向我方发出书面索赔通知及发包人未支付主合同约定工程款的证明材料。索赔通知应写明要求索赔的金额，支付款项应到达的账号。</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3. 我方收到你方的书面索赔通知及相应的证明材料后７天内无条件支付。</w:t>
      </w:r>
      <w:r>
        <w:rPr>
          <w:highlight w:val="none"/>
        </w:rPr>
      </w:r>
      <w:r/>
    </w:p>
    <w:p>
      <w:pPr>
        <w:ind w:firstLine="420"/>
        <w:spacing w:line="300" w:lineRule="exact"/>
        <w:rPr>
          <w:rFonts w:hint="eastAsia" w:ascii="宋体" w:hAnsi="宋体" w:cs="宋体"/>
          <w:szCs w:val="21"/>
          <w:highlight w:val="none"/>
        </w:rPr>
        <w:outlineLvl w:val="2"/>
      </w:pPr>
      <w:r>
        <w:rPr>
          <w:highlight w:val="none"/>
        </w:rPr>
      </w:r>
      <w:bookmarkStart w:id="910" w:name="_Toc8688"/>
      <w:r>
        <w:rPr>
          <w:rFonts w:hint="eastAsia" w:ascii="宋体" w:hAnsi="宋体" w:cs="宋体"/>
          <w:szCs w:val="21"/>
          <w:highlight w:val="none"/>
        </w:rPr>
        <w:t xml:space="preserve">五、保证责任的解除</w:t>
      </w:r>
      <w:bookmarkEnd w:id="910"/>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1. 在本保函承诺的保证期间内，你方未书面向我方主张保证责任的，自保证期间届满次日起，我方保证责任解除。</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2. 发包人按主合同约定履行了工程款的全部支付义务的，自本保函承诺的保证期间届满次日起，我方保证责任解除。</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3. 我方按照本保函向你方履行保证责任所支付金额达到本保函保证金额时，自我方向你方支付（支付款项从我方账户划出）之日起，保证责任即解除。</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4. 按照法律法规的规定或出现应解除我方保证责任的其他情形的，我方在本保函项下的保证责任亦解除。</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5. 我方解除保证责任后，你方应自我方保证责任解除之日起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个工作日内，将本保函原件返还我方。</w:t>
      </w:r>
      <w:r>
        <w:rPr>
          <w:highlight w:val="none"/>
        </w:rPr>
      </w:r>
      <w:r/>
    </w:p>
    <w:p>
      <w:pPr>
        <w:ind w:firstLine="420"/>
        <w:spacing w:line="300" w:lineRule="exact"/>
        <w:rPr>
          <w:rFonts w:hint="eastAsia" w:ascii="宋体" w:hAnsi="宋体" w:cs="宋体"/>
          <w:szCs w:val="21"/>
          <w:highlight w:val="none"/>
        </w:rPr>
        <w:outlineLvl w:val="2"/>
      </w:pPr>
      <w:r>
        <w:rPr>
          <w:highlight w:val="none"/>
        </w:rPr>
      </w:r>
      <w:bookmarkStart w:id="911" w:name="_Toc24152"/>
      <w:r>
        <w:rPr>
          <w:rFonts w:hint="eastAsia" w:ascii="宋体" w:hAnsi="宋体" w:cs="宋体"/>
          <w:szCs w:val="21"/>
          <w:highlight w:val="none"/>
        </w:rPr>
        <w:t xml:space="preserve">六、免责条款</w:t>
      </w:r>
      <w:bookmarkEnd w:id="911"/>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1. 因你方违约致使发包人不能履行义务的，我方不承担保证责任。</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2. 依照法律法规的规定或你方与发包人的另行约定，免除发包人部分或全部义务的，我方亦免除其相应的保证责任。</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4. 因不可抗力造成发包人不能履行义务的，我方不承担保证责任。</w:t>
      </w:r>
      <w:r>
        <w:rPr>
          <w:highlight w:val="none"/>
        </w:rPr>
      </w:r>
      <w:r/>
    </w:p>
    <w:p>
      <w:pPr>
        <w:ind w:firstLine="420"/>
        <w:spacing w:line="300" w:lineRule="exact"/>
        <w:rPr>
          <w:rFonts w:hint="eastAsia" w:ascii="宋体" w:hAnsi="宋体" w:cs="宋体"/>
          <w:szCs w:val="21"/>
          <w:highlight w:val="none"/>
        </w:rPr>
        <w:outlineLvl w:val="2"/>
      </w:pPr>
      <w:r>
        <w:rPr>
          <w:highlight w:val="none"/>
        </w:rPr>
      </w:r>
      <w:bookmarkStart w:id="912" w:name="_Toc18294"/>
      <w:r>
        <w:rPr>
          <w:rFonts w:hint="eastAsia" w:ascii="宋体" w:hAnsi="宋体" w:cs="宋体"/>
          <w:szCs w:val="21"/>
          <w:highlight w:val="none"/>
        </w:rPr>
        <w:t xml:space="preserve">七、争议解决</w:t>
      </w:r>
      <w:bookmarkEnd w:id="912"/>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因本保函或本保函相关事项发生的纠纷，可由双方协商解决，协商不成的，按下列第</w:t>
      </w:r>
      <w:r>
        <w:rPr>
          <w:rFonts w:hint="eastAsia" w:ascii="宋体" w:hAnsi="宋体" w:cs="宋体"/>
          <w:szCs w:val="21"/>
          <w:highlight w:val="none"/>
          <w:u w:val="single"/>
        </w:rPr>
        <w:t xml:space="preserve">     </w:t>
      </w:r>
      <w:r>
        <w:rPr>
          <w:rFonts w:hint="eastAsia" w:ascii="宋体" w:hAnsi="宋体" w:cs="宋体"/>
          <w:szCs w:val="21"/>
          <w:highlight w:val="none"/>
        </w:rPr>
        <w:t xml:space="preserve">种方式解决：</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                     </w:t>
      </w:r>
      <w:r>
        <w:rPr>
          <w:rFonts w:hint="eastAsia" w:ascii="宋体" w:hAnsi="宋体" w:cs="宋体"/>
          <w:szCs w:val="21"/>
          <w:highlight w:val="none"/>
        </w:rPr>
        <w:t xml:space="preserve">仲裁委员会申请仲裁；</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                     </w:t>
      </w:r>
      <w:r>
        <w:rPr>
          <w:rFonts w:hint="eastAsia" w:ascii="宋体" w:hAnsi="宋体" w:cs="宋体"/>
          <w:szCs w:val="21"/>
          <w:highlight w:val="none"/>
        </w:rPr>
        <w:t xml:space="preserve">人民法院起诉。</w:t>
      </w:r>
      <w:r>
        <w:rPr>
          <w:highlight w:val="none"/>
        </w:rPr>
      </w:r>
      <w:r/>
    </w:p>
    <w:p>
      <w:pPr>
        <w:ind w:firstLine="420"/>
        <w:spacing w:line="300" w:lineRule="exact"/>
        <w:rPr>
          <w:rFonts w:hint="eastAsia" w:ascii="宋体" w:hAnsi="宋体" w:cs="宋体"/>
          <w:szCs w:val="21"/>
          <w:highlight w:val="none"/>
        </w:rPr>
        <w:outlineLvl w:val="2"/>
      </w:pPr>
      <w:r>
        <w:rPr>
          <w:highlight w:val="none"/>
        </w:rPr>
      </w:r>
      <w:bookmarkStart w:id="913" w:name="_Toc7045"/>
      <w:r>
        <w:rPr>
          <w:rFonts w:hint="eastAsia" w:ascii="宋体" w:hAnsi="宋体" w:cs="宋体"/>
          <w:szCs w:val="21"/>
          <w:highlight w:val="none"/>
        </w:rPr>
        <w:t xml:space="preserve">八、保函的生效</w:t>
      </w:r>
      <w:bookmarkEnd w:id="913"/>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本保函自我方法定代表人（或其授权代理人）签字并加盖公章之日起生效。</w:t>
      </w:r>
      <w:r>
        <w:rPr>
          <w:highlight w:val="none"/>
        </w:rPr>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ind w:right="600"/>
        <w:spacing w:line="300" w:lineRule="exact"/>
        <w:rPr>
          <w:rFonts w:hint="eastAsia" w:ascii="宋体" w:hAnsi="宋体" w:cs="宋体"/>
          <w:szCs w:val="21"/>
          <w:highlight w:val="none"/>
        </w:rPr>
      </w:pPr>
      <w:r>
        <w:rPr>
          <w:rFonts w:hint="eastAsia" w:ascii="宋体" w:hAnsi="宋体" w:cs="宋体"/>
          <w:szCs w:val="21"/>
          <w:highlight w:val="none"/>
        </w:rPr>
      </w:r>
      <w:r>
        <w:rPr>
          <w:highlight w:val="none"/>
        </w:rPr>
      </w:r>
      <w:r/>
    </w:p>
    <w:p>
      <w:pPr>
        <w:ind w:right="600"/>
        <w:spacing w:line="300" w:lineRule="exact"/>
        <w:rPr>
          <w:rFonts w:hint="eastAsia" w:ascii="宋体" w:hAnsi="宋体" w:cs="宋体"/>
          <w:szCs w:val="21"/>
          <w:highlight w:val="none"/>
        </w:rPr>
      </w:pPr>
      <w:r>
        <w:rPr>
          <w:rFonts w:hint="eastAsia" w:ascii="宋体" w:hAnsi="宋体" w:cs="宋体"/>
          <w:szCs w:val="21"/>
          <w:highlight w:val="none"/>
        </w:rPr>
        <w:t xml:space="preserve">担保人：</w:t>
      </w:r>
      <w:r>
        <w:rPr>
          <w:rFonts w:hint="eastAsia" w:ascii="宋体" w:hAnsi="宋体" w:cs="宋体"/>
          <w:szCs w:val="21"/>
          <w:highlight w:val="none"/>
          <w:u w:val="single"/>
        </w:rPr>
        <w:t xml:space="preserve">                                   </w:t>
      </w:r>
      <w:r>
        <w:rPr>
          <w:rFonts w:hint="eastAsia" w:ascii="宋体" w:hAnsi="宋体" w:cs="宋体"/>
          <w:szCs w:val="21"/>
          <w:highlight w:val="none"/>
        </w:rPr>
        <w:t xml:space="preserve">（盖章）</w:t>
      </w:r>
      <w:r>
        <w:rPr>
          <w:highlight w:val="none"/>
        </w:rPr>
      </w:r>
      <w:r/>
    </w:p>
    <w:p>
      <w:pPr>
        <w:ind w:right="1200"/>
        <w:spacing w:line="300" w:lineRule="exact"/>
        <w:rPr>
          <w:rFonts w:hint="eastAsia" w:ascii="宋体" w:hAnsi="宋体" w:cs="宋体"/>
          <w:szCs w:val="21"/>
          <w:highlight w:val="none"/>
        </w:rPr>
      </w:pPr>
      <w:r>
        <w:rPr>
          <w:rFonts w:hint="eastAsia" w:ascii="宋体" w:hAnsi="宋体" w:cs="宋体"/>
          <w:szCs w:val="21"/>
          <w:highlight w:val="none"/>
        </w:rPr>
        <w:t xml:space="preserve">法定代表人或委托代理人：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                                        </w:t>
      </w:r>
      <w:r>
        <w:rPr>
          <w:highlight w:val="none"/>
        </w:rPr>
      </w:r>
      <w:r/>
    </w:p>
    <w:p>
      <w:pPr>
        <w:spacing w:line="300" w:lineRule="exact"/>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highlight w:val="none"/>
        </w:rPr>
      </w:r>
      <w:r/>
    </w:p>
    <w:p>
      <w:pPr>
        <w:ind w:right="150" w:firstLine="420"/>
        <w:spacing w:line="300" w:lineRule="exact"/>
        <w:rPr>
          <w:rFonts w:hint="eastAsia" w:ascii="宋体" w:hAnsi="宋体" w:cs="宋体"/>
          <w:szCs w:val="21"/>
          <w:highlight w:val="none"/>
          <w:u w:val="single"/>
        </w:rPr>
      </w:pPr>
      <w:r>
        <w:rPr>
          <w:rFonts w:hint="eastAsia" w:ascii="宋体" w:hAnsi="宋体" w:cs="宋体"/>
          <w:szCs w:val="21"/>
          <w:highlight w:val="none"/>
          <w:u w:val="single"/>
        </w:rPr>
      </w:r>
      <w:r>
        <w:rPr>
          <w:highlight w:val="none"/>
        </w:rPr>
      </w:r>
      <w:r/>
    </w:p>
    <w:p>
      <w:pPr>
        <w:ind w:right="150" w:firstLine="420"/>
        <w:spacing w:line="3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18"/>
          <w:szCs w:val="18"/>
          <w:highlight w:val="none"/>
        </w:rPr>
        <w:br w:type="page" w:clear="all"/>
      </w:r>
      <w:r>
        <w:rPr>
          <w:rFonts w:hint="eastAsia" w:ascii="宋体" w:hAnsi="宋体" w:cs="宋体"/>
          <w:sz w:val="24"/>
          <w:szCs w:val="24"/>
          <w:highlight w:val="none"/>
        </w:rPr>
        <w:t xml:space="preserve">附件11：</w:t>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11-1：材料暂估价表</w:t>
      </w:r>
      <w:r>
        <w:rPr>
          <w:highlight w:val="none"/>
        </w:rPr>
      </w:r>
      <w:r/>
    </w:p>
    <w:tbl>
      <w:tblPr>
        <w:tblStyle w:val="781"/>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highlight w:val="none"/>
              </w:rPr>
            </w:r>
            <w:r/>
          </w:p>
        </w:tc>
        <w:tc>
          <w:tcPr>
            <w:tcBorders>
              <w:top w:val="single" w:color="000000" w:sz="12" w:space="0"/>
              <w:left w:val="single" w:color="000000" w:sz="6" w:space="0"/>
              <w:bottom w:val="single" w:color="000000" w:sz="6" w:space="0"/>
              <w:right w:val="single" w:color="000000" w:sz="6" w:space="0"/>
            </w:tcBorders>
            <w:tcW w:w="198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rPr>
                <w:highlight w:val="none"/>
              </w:rPr>
            </w:r>
            <w:r/>
          </w:p>
        </w:tc>
        <w:tc>
          <w:tcPr>
            <w:tcBorders>
              <w:top w:val="single" w:color="000000" w:sz="12" w:space="0"/>
              <w:left w:val="single" w:color="000000" w:sz="6" w:space="0"/>
              <w:bottom w:val="single" w:color="000000" w:sz="6" w:space="0"/>
              <w:right w:val="single" w:color="000000" w:sz="6" w:space="0"/>
            </w:tcBorders>
            <w:tcW w:w="85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highlight w:val="none"/>
              </w:rPr>
            </w:r>
            <w:r/>
          </w:p>
        </w:tc>
        <w:tc>
          <w:tcPr>
            <w:tcBorders>
              <w:top w:val="single" w:color="000000" w:sz="12" w:space="0"/>
              <w:left w:val="single" w:color="000000" w:sz="6" w:space="0"/>
              <w:bottom w:val="single" w:color="000000" w:sz="6" w:space="0"/>
              <w:right w:val="single" w:color="000000" w:sz="6" w:space="0"/>
            </w:tcBorders>
            <w:tcW w:w="77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highlight w:val="none"/>
              </w:rPr>
            </w:r>
            <w:r/>
          </w:p>
        </w:tc>
        <w:tc>
          <w:tcPr>
            <w:tcBorders>
              <w:top w:val="single" w:color="000000" w:sz="12" w:space="0"/>
              <w:left w:val="single" w:color="000000" w:sz="6" w:space="0"/>
              <w:bottom w:val="single" w:color="000000" w:sz="6" w:space="0"/>
              <w:right w:val="single" w:color="000000" w:sz="6" w:space="0"/>
            </w:tcBorders>
            <w:tcW w:w="135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rPr>
                <w:highlight w:val="none"/>
              </w:rPr>
            </w:r>
            <w:r/>
          </w:p>
        </w:tc>
        <w:tc>
          <w:tcPr>
            <w:tcBorders>
              <w:top w:val="single" w:color="000000" w:sz="12" w:space="0"/>
              <w:left w:val="single" w:color="000000" w:sz="6" w:space="0"/>
              <w:bottom w:val="single" w:color="000000" w:sz="6" w:space="0"/>
              <w:right w:val="single" w:color="000000" w:sz="6" w:space="0"/>
            </w:tcBorders>
            <w:tcW w:w="1418"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合价（元）</w:t>
            </w:r>
            <w:r>
              <w:rPr>
                <w:highlight w:val="none"/>
              </w:rPr>
            </w:r>
            <w:r/>
          </w:p>
        </w:tc>
        <w:tc>
          <w:tcPr>
            <w:tcBorders>
              <w:top w:val="single" w:color="000000" w:sz="12" w:space="0"/>
              <w:left w:val="single" w:color="000000" w:sz="6" w:space="0"/>
              <w:bottom w:val="single" w:color="000000" w:sz="6" w:space="0"/>
              <w:right w:val="single" w:color="000000" w:sz="12" w:space="0"/>
            </w:tcBorders>
            <w:tcW w:w="170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highlight w:val="none"/>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c>
          <w:tcPr>
            <w:tcBorders>
              <w:top w:val="none" w:color="000000" w:sz="4" w:space="0"/>
              <w:left w:val="single" w:color="000000" w:sz="12" w:space="0"/>
              <w:bottom w:val="single" w:color="000000" w:sz="6" w:space="0"/>
              <w:right w:val="single" w:color="000000" w:sz="6" w:space="0"/>
            </w:tcBorders>
            <w:tcW w:w="993"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98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5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77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35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18"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170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bl>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11-2：工程设备暂估价表</w:t>
      </w:r>
      <w:r>
        <w:rPr>
          <w:highlight w:val="none"/>
        </w:rPr>
      </w:r>
      <w:r/>
    </w:p>
    <w:tbl>
      <w:tblPr>
        <w:tblStyle w:val="781"/>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highlight w:val="none"/>
              </w:rPr>
            </w:r>
            <w:r/>
          </w:p>
        </w:tc>
        <w:tc>
          <w:tcPr>
            <w:tcBorders>
              <w:top w:val="single" w:color="000000" w:sz="12" w:space="0"/>
              <w:left w:val="single" w:color="000000" w:sz="6" w:space="0"/>
              <w:bottom w:val="single" w:color="000000" w:sz="6" w:space="0"/>
              <w:right w:val="single" w:color="000000" w:sz="6" w:space="0"/>
            </w:tcBorders>
            <w:tcW w:w="198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rPr>
                <w:highlight w:val="none"/>
              </w:rPr>
            </w:r>
            <w:r/>
          </w:p>
        </w:tc>
        <w:tc>
          <w:tcPr>
            <w:tcBorders>
              <w:top w:val="single" w:color="000000" w:sz="12" w:space="0"/>
              <w:left w:val="single" w:color="000000" w:sz="6" w:space="0"/>
              <w:bottom w:val="single" w:color="000000" w:sz="6" w:space="0"/>
              <w:right w:val="single" w:color="000000" w:sz="6" w:space="0"/>
            </w:tcBorders>
            <w:tcW w:w="85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highlight w:val="none"/>
              </w:rPr>
            </w:r>
            <w:r/>
          </w:p>
        </w:tc>
        <w:tc>
          <w:tcPr>
            <w:tcBorders>
              <w:top w:val="single" w:color="000000" w:sz="12" w:space="0"/>
              <w:left w:val="single" w:color="000000" w:sz="6" w:space="0"/>
              <w:bottom w:val="single" w:color="000000" w:sz="6" w:space="0"/>
              <w:right w:val="single" w:color="000000" w:sz="6" w:space="0"/>
            </w:tcBorders>
            <w:tcW w:w="77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highlight w:val="none"/>
              </w:rPr>
            </w:r>
            <w:r/>
          </w:p>
        </w:tc>
        <w:tc>
          <w:tcPr>
            <w:tcBorders>
              <w:top w:val="single" w:color="000000" w:sz="12" w:space="0"/>
              <w:left w:val="single" w:color="000000" w:sz="6" w:space="0"/>
              <w:bottom w:val="single" w:color="000000" w:sz="6" w:space="0"/>
              <w:right w:val="single" w:color="000000" w:sz="6" w:space="0"/>
            </w:tcBorders>
            <w:tcW w:w="135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rPr>
                <w:highlight w:val="none"/>
              </w:rPr>
            </w:r>
            <w:r/>
          </w:p>
        </w:tc>
        <w:tc>
          <w:tcPr>
            <w:tcBorders>
              <w:top w:val="single" w:color="000000" w:sz="12" w:space="0"/>
              <w:left w:val="single" w:color="000000" w:sz="6" w:space="0"/>
              <w:bottom w:val="single" w:color="000000" w:sz="6" w:space="0"/>
              <w:right w:val="single" w:color="000000" w:sz="6" w:space="0"/>
            </w:tcBorders>
            <w:tcW w:w="1418"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合价（元）</w:t>
            </w:r>
            <w:r>
              <w:rPr>
                <w:highlight w:val="none"/>
              </w:rPr>
            </w:r>
            <w:r/>
          </w:p>
        </w:tc>
        <w:tc>
          <w:tcPr>
            <w:tcBorders>
              <w:top w:val="single" w:color="000000" w:sz="12" w:space="0"/>
              <w:left w:val="single" w:color="000000" w:sz="6" w:space="0"/>
              <w:bottom w:val="single" w:color="000000" w:sz="6" w:space="0"/>
              <w:right w:val="single" w:color="000000" w:sz="12" w:space="0"/>
            </w:tcBorders>
            <w:tcW w:w="170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highlight w:val="none"/>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c>
          <w:tcPr>
            <w:tcBorders>
              <w:top w:val="none" w:color="000000" w:sz="4" w:space="0"/>
              <w:left w:val="single" w:color="000000" w:sz="12" w:space="0"/>
              <w:bottom w:val="single" w:color="000000" w:sz="6" w:space="0"/>
              <w:right w:val="single" w:color="000000" w:sz="6" w:space="0"/>
            </w:tcBorders>
            <w:tcW w:w="993"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98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85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77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35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1418"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170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bl>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t xml:space="preserve">11-3：专业工程暂估价表</w:t>
      </w:r>
      <w:r>
        <w:rPr>
          <w:highlight w:val="none"/>
        </w:rPr>
      </w:r>
      <w:r/>
    </w:p>
    <w:tbl>
      <w:tblPr>
        <w:tblStyle w:val="781"/>
        <w:tblW w:w="9024" w:type="dxa"/>
        <w:tblInd w:w="-10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5"/>
        <w:gridCol w:w="2007"/>
        <w:gridCol w:w="4732"/>
        <w:gridCol w:w="1290"/>
      </w:tblGrid>
      <w:tr>
        <w:trPr>
          <w:trHeight w:val="481"/>
        </w:trPr>
        <w:tc>
          <w:tcPr>
            <w:tcBorders>
              <w:top w:val="single" w:color="000000" w:sz="12" w:space="0"/>
              <w:left w:val="single" w:color="000000" w:sz="12" w:space="0"/>
              <w:bottom w:val="single" w:color="000000" w:sz="6" w:space="0"/>
              <w:right w:val="single" w:color="000000" w:sz="6" w:space="0"/>
            </w:tcBorders>
            <w:tcW w:w="995"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highlight w:val="none"/>
              </w:rPr>
            </w:r>
            <w:r/>
          </w:p>
        </w:tc>
        <w:tc>
          <w:tcPr>
            <w:tcBorders>
              <w:top w:val="single" w:color="000000" w:sz="12" w:space="0"/>
              <w:left w:val="single" w:color="000000" w:sz="6" w:space="0"/>
              <w:bottom w:val="single" w:color="000000" w:sz="6" w:space="0"/>
              <w:right w:val="single" w:color="000000" w:sz="6" w:space="0"/>
            </w:tcBorders>
            <w:tcW w:w="2007"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专业工程名称</w:t>
            </w:r>
            <w:r>
              <w:rPr>
                <w:highlight w:val="none"/>
              </w:rPr>
            </w:r>
            <w:r/>
          </w:p>
        </w:tc>
        <w:tc>
          <w:tcPr>
            <w:tcBorders>
              <w:top w:val="single" w:color="000000" w:sz="12" w:space="0"/>
              <w:left w:val="single" w:color="000000" w:sz="6" w:space="0"/>
              <w:bottom w:val="single" w:color="000000" w:sz="6" w:space="0"/>
              <w:right w:val="single" w:color="000000" w:sz="6" w:space="0"/>
            </w:tcBorders>
            <w:tcW w:w="473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工程内容</w:t>
            </w:r>
            <w:r>
              <w:rPr>
                <w:highlight w:val="none"/>
              </w:rPr>
            </w:r>
            <w:r/>
          </w:p>
        </w:tc>
        <w:tc>
          <w:tcPr>
            <w:tcBorders>
              <w:top w:val="single" w:color="000000" w:sz="12" w:space="0"/>
              <w:left w:val="single" w:color="000000" w:sz="6" w:space="0"/>
              <w:bottom w:val="single" w:color="000000" w:sz="6" w:space="0"/>
              <w:right w:val="single" w:color="000000" w:sz="12" w:space="0"/>
            </w:tcBorders>
            <w:tcW w:w="1290"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w:t>
            </w:r>
            <w:r>
              <w:rPr>
                <w:highlight w:val="none"/>
              </w:rPr>
            </w:r>
            <w:r/>
          </w:p>
        </w:tc>
      </w:tr>
      <w:tr>
        <w:trPr>
          <w:trHeight w:val="512"/>
        </w:trPr>
        <w:tc>
          <w:tcPr>
            <w:tcBorders>
              <w:top w:val="single" w:color="000000" w:sz="6" w:space="0"/>
              <w:left w:val="single" w:color="000000" w:sz="12" w:space="0"/>
              <w:bottom w:val="single" w:color="000000" w:sz="6" w:space="0"/>
              <w:right w:val="single" w:color="000000" w:sz="6" w:space="0"/>
            </w:tcBorders>
            <w:tcW w:w="995"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451"/>
        </w:trPr>
        <w:tc>
          <w:tcPr>
            <w:tcBorders>
              <w:top w:val="none" w:color="000000" w:sz="4" w:space="0"/>
              <w:left w:val="single" w:color="000000" w:sz="12" w:space="0"/>
              <w:bottom w:val="single" w:color="000000" w:sz="6" w:space="0"/>
              <w:right w:val="single" w:color="000000" w:sz="6" w:space="0"/>
            </w:tcBorders>
            <w:tcW w:w="995"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2007"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473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1290"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451"/>
        </w:trPr>
        <w:tc>
          <w:tcPr>
            <w:tcBorders>
              <w:top w:val="none" w:color="000000" w:sz="4" w:space="0"/>
              <w:left w:val="single" w:color="000000" w:sz="12" w:space="0"/>
              <w:bottom w:val="single" w:color="000000" w:sz="6" w:space="0"/>
              <w:right w:val="single" w:color="000000" w:sz="6" w:space="0"/>
            </w:tcBorders>
            <w:tcW w:w="995"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2007"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6" w:space="0"/>
            </w:tcBorders>
            <w:tcW w:w="473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none" w:color="000000" w:sz="4" w:space="0"/>
              <w:left w:val="single" w:color="000000" w:sz="6" w:space="0"/>
              <w:bottom w:val="single" w:color="000000" w:sz="6" w:space="0"/>
              <w:right w:val="single" w:color="000000" w:sz="12" w:space="0"/>
            </w:tcBorders>
            <w:tcW w:w="1290"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451"/>
        </w:trPr>
        <w:tc>
          <w:tcPr>
            <w:tcBorders>
              <w:top w:val="single" w:color="000000" w:sz="6" w:space="0"/>
              <w:left w:val="single" w:color="000000" w:sz="12" w:space="0"/>
              <w:bottom w:val="single" w:color="000000" w:sz="6" w:space="0"/>
              <w:right w:val="single" w:color="000000" w:sz="6" w:space="0"/>
            </w:tcBorders>
            <w:tcW w:w="995"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451"/>
        </w:trPr>
        <w:tc>
          <w:tcPr>
            <w:tcBorders>
              <w:top w:val="single" w:color="000000" w:sz="6" w:space="0"/>
              <w:left w:val="single" w:color="000000" w:sz="12" w:space="0"/>
              <w:bottom w:val="single" w:color="000000" w:sz="6" w:space="0"/>
              <w:right w:val="single" w:color="000000" w:sz="6" w:space="0"/>
            </w:tcBorders>
            <w:tcW w:w="995"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451"/>
        </w:trPr>
        <w:tc>
          <w:tcPr>
            <w:tcBorders>
              <w:top w:val="single" w:color="000000" w:sz="6" w:space="0"/>
              <w:left w:val="single" w:color="000000" w:sz="12" w:space="0"/>
              <w:bottom w:val="single" w:color="000000" w:sz="6" w:space="0"/>
              <w:right w:val="single" w:color="000000" w:sz="6" w:space="0"/>
            </w:tcBorders>
            <w:tcW w:w="995"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tc>
      </w:tr>
      <w:tr>
        <w:trPr>
          <w:trHeight w:val="512"/>
        </w:trPr>
        <w:tc>
          <w:tcPr>
            <w:gridSpan w:val="4"/>
            <w:tcBorders>
              <w:top w:val="single" w:color="000000" w:sz="6" w:space="0"/>
              <w:left w:val="single" w:color="000000" w:sz="12" w:space="0"/>
              <w:bottom w:val="single" w:color="000000" w:sz="12" w:space="0"/>
              <w:right w:val="single" w:color="000000" w:sz="12" w:space="0"/>
            </w:tcBorders>
            <w:tcW w:w="9024" w:type="dxa"/>
            <w:textDirection w:val="lrTb"/>
            <w:noWrap w:val="false"/>
          </w:tcPr>
          <w:p>
            <w:pPr>
              <w:pStyle w:val="785"/>
              <w:ind w:left="63" w:right="63"/>
              <w:keepNext/>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rPr>
                <w:highlight w:val="none"/>
              </w:rPr>
            </w:r>
            <w:r/>
          </w:p>
        </w:tc>
      </w:tr>
    </w:tbl>
    <w:p>
      <w:pPr>
        <w:spacing w:line="300" w:lineRule="exact"/>
        <w:rPr>
          <w:rFonts w:hint="eastAsia" w:ascii="宋体" w:hAnsi="宋体" w:cs="宋体"/>
          <w:sz w:val="24"/>
          <w:szCs w:val="24"/>
          <w:highlight w:val="none"/>
        </w:rPr>
      </w:pPr>
      <w:r>
        <w:rPr>
          <w:highlight w:val="none"/>
        </w:rPr>
      </w:r>
      <w:bookmarkStart w:id="914" w:name="EBe2f228841b774b11b5e875e8be3c15af"/>
      <w:r>
        <w:rPr>
          <w:rFonts w:hint="eastAsia" w:ascii="宋体" w:hAnsi="宋体" w:cs="宋体"/>
          <w:sz w:val="24"/>
          <w:szCs w:val="24"/>
          <w:highlight w:val="none"/>
        </w:rPr>
        <w:t xml:space="preserve"> </w:t>
      </w:r>
      <w:bookmarkEnd w:id="914"/>
      <w:r>
        <w:rPr>
          <w:highlight w:val="none"/>
        </w:rPr>
      </w:r>
      <w:r/>
    </w:p>
    <w:p>
      <w:pPr>
        <w:spacing w:line="30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p>
      <w:pPr>
        <w:ind w:right="3041"/>
        <w:spacing w:before="10" w:line="602" w:lineRule="auto"/>
        <w:tabs>
          <w:tab w:val="left" w:pos="5704" w:leader="none"/>
        </w:tabs>
        <w:rPr>
          <w:rFonts w:hint="eastAsia" w:ascii="宋体" w:hAnsi="宋体" w:cs="宋体"/>
          <w:sz w:val="44"/>
          <w:highlight w:val="none"/>
        </w:rPr>
      </w:pPr>
      <w:r>
        <w:rPr>
          <w:rFonts w:hint="eastAsia" w:ascii="宋体" w:hAnsi="宋体" w:cs="宋体"/>
          <w:sz w:val="44"/>
          <w:highlight w:val="none"/>
        </w:rPr>
      </w:r>
      <w:r>
        <w:rPr>
          <w:highlight w:val="none"/>
        </w:rPr>
      </w:r>
      <w:r/>
    </w:p>
    <w:p>
      <w:pPr>
        <w:ind w:right="3041"/>
        <w:spacing w:before="10" w:line="602" w:lineRule="auto"/>
        <w:tabs>
          <w:tab w:val="left" w:pos="5704" w:leader="none"/>
        </w:tabs>
        <w:rPr>
          <w:rFonts w:hint="eastAsia" w:ascii="宋体" w:hAnsi="宋体" w:cs="宋体"/>
          <w:sz w:val="44"/>
          <w:highlight w:val="none"/>
        </w:rPr>
      </w:pPr>
      <w:r>
        <w:rPr>
          <w:rFonts w:hint="eastAsia" w:ascii="宋体" w:hAnsi="宋体" w:cs="宋体"/>
          <w:sz w:val="44"/>
          <w:highlight w:val="none"/>
        </w:rPr>
      </w:r>
      <w:r>
        <w:rPr>
          <w:highlight w:val="none"/>
        </w:rPr>
      </w:r>
      <w:r/>
    </w:p>
    <w:p>
      <w:pPr>
        <w:rPr>
          <w:color w:val="auto"/>
          <w:highlight w:val="none"/>
        </w:rPr>
      </w:pPr>
      <w:r>
        <w:rPr>
          <w:color w:val="auto"/>
          <w:highlight w:val="none"/>
        </w:rPr>
      </w:r>
      <w:r>
        <w:rPr>
          <w:highlight w:val="none"/>
        </w:rPr>
      </w:r>
      <w:r/>
    </w:p>
    <w:p>
      <w:pPr>
        <w:pStyle w:val="1000"/>
        <w:jc w:val="center"/>
        <w:rPr>
          <w:rFonts w:hint="eastAsia" w:ascii="宋体" w:hAnsi="宋体"/>
          <w:color w:val="auto"/>
          <w:sz w:val="36"/>
          <w:highlight w:val="none"/>
        </w:rPr>
      </w:pPr>
      <w:r>
        <w:rPr>
          <w:rFonts w:ascii="宋体" w:hAnsi="宋体"/>
          <w:color w:val="auto"/>
          <w:sz w:val="36"/>
          <w:highlight w:val="none"/>
          <w:lang w:eastAsia="zh-CN"/>
        </w:rPr>
        <w:t xml:space="preserve">第四部分</w:t>
      </w:r>
      <w:r>
        <w:rPr>
          <w:rFonts w:hint="eastAsia" w:ascii="宋体" w:hAnsi="宋体"/>
          <w:color w:val="auto"/>
          <w:sz w:val="36"/>
          <w:highlight w:val="none"/>
          <w:lang w:eastAsia="zh-CN"/>
        </w:rPr>
        <w:t xml:space="preserve">  采购需求</w:t>
      </w:r>
      <w:bookmarkEnd w:id="218"/>
      <w:r>
        <w:rPr>
          <w:highlight w:val="none"/>
        </w:rPr>
      </w:r>
      <w:bookmarkEnd w:id="219"/>
      <w:r>
        <w:rPr>
          <w:highlight w:val="none"/>
        </w:rPr>
      </w:r>
      <w:r/>
    </w:p>
    <w:p>
      <w:pPr>
        <w:ind w:firstLine="482"/>
        <w:spacing w:line="400" w:lineRule="exact"/>
        <w:rPr>
          <w:b/>
          <w:bCs/>
          <w:color w:val="auto"/>
          <w:sz w:val="24"/>
          <w:szCs w:val="24"/>
          <w:highlight w:val="none"/>
        </w:rPr>
        <w:outlineLvl w:val="1"/>
      </w:pPr>
      <w:r>
        <w:rPr>
          <w:highlight w:val="none"/>
        </w:rPr>
      </w:r>
      <w:bookmarkStart w:id="915" w:name="_Toc13689"/>
      <w:r>
        <w:rPr>
          <w:highlight w:val="none"/>
        </w:rPr>
      </w:r>
      <w:bookmarkStart w:id="916" w:name="EB69fca8740d1f4b0e9a8dbc98881cd3d4"/>
      <w:r>
        <w:rPr>
          <w:rFonts w:hint="eastAsia"/>
          <w:b/>
          <w:bCs/>
          <w:color w:val="auto"/>
          <w:sz w:val="24"/>
          <w:szCs w:val="24"/>
          <w:highlight w:val="none"/>
        </w:rPr>
        <w:t xml:space="preserve">一.项目概况</w:t>
      </w:r>
      <w:bookmarkEnd w:id="915"/>
      <w:r>
        <w:rPr>
          <w:highlight w:val="none"/>
        </w:rPr>
      </w:r>
      <w:r/>
    </w:p>
    <w:p>
      <w:pPr>
        <w:ind w:firstLine="480"/>
        <w:spacing w:line="400" w:lineRule="exact"/>
        <w:rPr>
          <w:rFonts w:hint="eastAsia"/>
          <w:color w:val="auto"/>
          <w:sz w:val="24"/>
          <w:szCs w:val="24"/>
          <w:highlight w:val="none"/>
        </w:rPr>
      </w:pPr>
      <w:r>
        <w:rPr>
          <w:rFonts w:hint="eastAsia"/>
          <w:color w:val="auto"/>
          <w:sz w:val="24"/>
          <w:szCs w:val="24"/>
          <w:highlight w:val="none"/>
        </w:rPr>
        <w:t xml:space="preserve">本次采购内容为</w:t>
      </w:r>
      <w:r>
        <w:rPr>
          <w:rFonts w:hint="eastAsia"/>
          <w:color w:val="auto"/>
          <w:sz w:val="24"/>
          <w:szCs w:val="24"/>
          <w:highlight w:val="none"/>
          <w:lang w:eastAsia="zh-CN"/>
        </w:rPr>
        <w:t xml:space="preserve">句容市下蜀镇江家村312国道两侧倾倒建筑渣土区域生态环境综合整治项目 </w:t>
      </w:r>
      <w:r>
        <w:rPr>
          <w:rFonts w:hint="eastAsia"/>
          <w:color w:val="auto"/>
          <w:sz w:val="24"/>
          <w:szCs w:val="24"/>
          <w:highlight w:val="none"/>
        </w:rPr>
        <w:t xml:space="preserve">。包含</w:t>
      </w:r>
      <w:r>
        <w:rPr>
          <w:rFonts w:hint="eastAsia"/>
          <w:color w:val="auto"/>
          <w:sz w:val="24"/>
          <w:szCs w:val="24"/>
          <w:highlight w:val="none"/>
          <w:lang w:eastAsia="zh-CN"/>
        </w:rPr>
        <w:t xml:space="preserve">土方开挖、渣土场地内短驳、土壤筛分、建筑及生活垃圾转运、土壤回填、北侧地块推平、土壤改良、排水沟渠建设、林地区域平整及绿化、二次污染防护等</w:t>
      </w:r>
      <w:r>
        <w:rPr>
          <w:rFonts w:hint="eastAsia"/>
          <w:color w:val="auto"/>
          <w:sz w:val="24"/>
          <w:szCs w:val="24"/>
          <w:highlight w:val="none"/>
        </w:rPr>
        <w:t xml:space="preserve">（具体内容详见工程量清单）。</w:t>
      </w:r>
      <w:r>
        <w:rPr>
          <w:highlight w:val="none"/>
        </w:rPr>
      </w:r>
      <w:r/>
    </w:p>
    <w:p>
      <w:pPr>
        <w:ind w:firstLine="480"/>
        <w:spacing w:line="400" w:lineRule="exact"/>
        <w:rPr>
          <w:rFonts w:hint="eastAsia"/>
          <w:color w:val="auto"/>
          <w:sz w:val="24"/>
          <w:szCs w:val="24"/>
          <w:highlight w:val="none"/>
        </w:rPr>
      </w:pPr>
      <w:r>
        <w:rPr>
          <w:rFonts w:hint="eastAsia"/>
          <w:color w:val="auto"/>
          <w:sz w:val="24"/>
          <w:szCs w:val="24"/>
          <w:highlight w:val="none"/>
        </w:rPr>
        <w:t xml:space="preserve">各供应商应认真研读本磋商文件中的采购要求，并进行相应的现场勘测工作，在充分了解本项目采购范围后结合自身实际情况进行磋商响应文件的制作和报价。技术方案必须符合规范要求，有详细的安全管理措施和应急预案、合理的进度计划，资源准备充裕，以做好赶工措施准备，对施工难点、重点要有专项施工方案。</w:t>
      </w:r>
      <w:r>
        <w:rPr>
          <w:highlight w:val="none"/>
        </w:rPr>
      </w:r>
      <w:r/>
    </w:p>
    <w:p>
      <w:pPr>
        <w:ind w:firstLine="480"/>
        <w:spacing w:line="400" w:lineRule="exact"/>
        <w:rPr>
          <w:color w:val="auto"/>
          <w:sz w:val="24"/>
          <w:szCs w:val="24"/>
          <w:highlight w:val="none"/>
        </w:rPr>
        <w:outlineLvl w:val="2"/>
      </w:pPr>
      <w:r>
        <w:rPr>
          <w:highlight w:val="none"/>
        </w:rPr>
      </w:r>
      <w:bookmarkStart w:id="917" w:name="_Toc7436"/>
      <w:r>
        <w:rPr>
          <w:rFonts w:hint="eastAsia"/>
          <w:color w:val="auto"/>
          <w:sz w:val="24"/>
          <w:szCs w:val="24"/>
          <w:highlight w:val="none"/>
        </w:rPr>
        <w:t xml:space="preserve">项目所属行业：建筑业</w:t>
      </w:r>
      <w:bookmarkEnd w:id="917"/>
      <w:r>
        <w:rPr>
          <w:highlight w:val="none"/>
        </w:rPr>
      </w:r>
      <w:r/>
    </w:p>
    <w:p>
      <w:pPr>
        <w:jc w:val="left"/>
        <w:spacing w:before="240" w:after="240"/>
        <w:widowControl/>
        <w:rPr>
          <w:rFonts w:eastAsia="Times New Roman"/>
          <w:color w:val="auto"/>
          <w:sz w:val="24"/>
          <w:szCs w:val="24"/>
          <w:highlight w:val="none"/>
        </w:rPr>
      </w:pPr>
      <w:r>
        <w:rPr>
          <w:rFonts w:ascii="宋体" w:hAnsi="宋体" w:cs="宋体"/>
          <w:b/>
          <w:bCs/>
          <w:color w:val="auto"/>
          <w:sz w:val="24"/>
          <w:szCs w:val="24"/>
          <w:highlight w:val="none"/>
        </w:rPr>
        <w:t xml:space="preserve">二.采购标的汇总表</w:t>
      </w:r>
      <w:r>
        <w:rPr>
          <w:highlight w:val="none"/>
        </w:rPr>
      </w:r>
      <w:r/>
    </w:p>
    <w:p>
      <w:pPr>
        <w:jc w:val="left"/>
        <w:spacing w:before="240" w:after="240"/>
        <w:widowControl/>
        <w:rPr>
          <w:color w:val="auto"/>
          <w:sz w:val="24"/>
          <w:szCs w:val="24"/>
          <w:highlight w:val="none"/>
        </w:rPr>
      </w:pPr>
      <w:r>
        <w:rPr>
          <w:rFonts w:ascii="宋体" w:hAnsi="宋体" w:cs="宋体"/>
          <w:color w:val="auto"/>
          <w:sz w:val="24"/>
          <w:szCs w:val="24"/>
          <w:highlight w:val="none"/>
        </w:rPr>
        <w:t xml:space="preserve">（一）采购标的</w:t>
      </w:r>
      <w:r>
        <w:rPr>
          <w:highlight w:val="none"/>
        </w:rPr>
      </w:r>
      <w:r/>
    </w:p>
    <w:p>
      <w:pPr>
        <w:ind w:firstLine="480"/>
        <w:jc w:val="left"/>
        <w:spacing w:before="240" w:after="240"/>
        <w:widowControl/>
        <w:rPr>
          <w:rFonts w:eastAsia="Times New Roman"/>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工程</w:t>
      </w:r>
      <w:r>
        <w:rPr>
          <w:rFonts w:ascii="宋体" w:hAnsi="宋体" w:cs="宋体"/>
          <w:color w:val="auto"/>
          <w:sz w:val="24"/>
          <w:szCs w:val="24"/>
          <w:highlight w:val="none"/>
        </w:rPr>
        <w:t xml:space="preserve">类标的</w:t>
      </w:r>
      <w:r>
        <w:rPr>
          <w:highlight w:val="none"/>
        </w:rPr>
      </w:r>
      <w:r/>
    </w:p>
    <w:tbl>
      <w:tblPr>
        <w:tblStyle w:val="781"/>
        <w:tblW w:w="9498" w:type="dxa"/>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5" w:type="dxa"/>
          <w:top w:w="15" w:type="dxa"/>
          <w:right w:w="15" w:type="dxa"/>
          <w:bottom w:w="15"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val="false"/>
          </w:tcPr>
          <w:p>
            <w:pPr>
              <w:jc w:val="center"/>
              <w:widowControl/>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序号</w:t>
            </w:r>
            <w:r>
              <w:rPr>
                <w:highlight w:val="none"/>
              </w:rPr>
            </w:r>
            <w:r/>
          </w:p>
        </w:tc>
        <w:tc>
          <w:tcPr>
            <w:tcMar>
              <w:left w:w="108" w:type="dxa"/>
              <w:top w:w="0" w:type="dxa"/>
              <w:right w:w="108" w:type="dxa"/>
              <w:bottom w:w="0" w:type="dxa"/>
            </w:tcMar>
            <w:tcW w:w="2779" w:type="dxa"/>
            <w:vAlign w:val="center"/>
            <w:textDirection w:val="lrTb"/>
            <w:noWrap w:val="false"/>
          </w:tcPr>
          <w:p>
            <w:pPr>
              <w:jc w:val="center"/>
              <w:spacing w:line="360" w:lineRule="auto"/>
              <w:widowControl/>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标的名称</w:t>
            </w:r>
            <w:r>
              <w:rPr>
                <w:highlight w:val="none"/>
              </w:rPr>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计量</w:t>
            </w:r>
            <w:r>
              <w:rPr>
                <w:highlight w:val="none"/>
              </w:rPr>
            </w:r>
            <w:r/>
          </w:p>
          <w:p>
            <w:pPr>
              <w:jc w:val="center"/>
              <w:spacing w:line="360" w:lineRule="auto"/>
              <w:widowControl/>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单位</w:t>
            </w:r>
            <w:r>
              <w:rPr>
                <w:highlight w:val="none"/>
              </w:rPr>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数量</w:t>
            </w:r>
            <w:r>
              <w:rPr>
                <w:highlight w:val="none"/>
              </w:rPr>
            </w:r>
            <w:r/>
          </w:p>
        </w:tc>
        <w:tc>
          <w:tcPr>
            <w:tcMar>
              <w:left w:w="108" w:type="dxa"/>
              <w:top w:w="0" w:type="dxa"/>
              <w:right w:w="108" w:type="dxa"/>
              <w:bottom w:w="0" w:type="dxa"/>
            </w:tcMar>
            <w:tcW w:w="2267" w:type="dxa"/>
            <w:vAlign w:val="center"/>
            <w:textDirection w:val="lrTb"/>
            <w:noWrap w:val="false"/>
          </w:tcPr>
          <w:p>
            <w:pPr>
              <w:jc w:val="center"/>
              <w:spacing w:line="360" w:lineRule="auto"/>
              <w:widowControl/>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要求简述</w:t>
            </w:r>
            <w:r>
              <w:rPr>
                <w:highlight w:val="none"/>
              </w:rPr>
            </w:r>
            <w:r/>
          </w:p>
        </w:tc>
        <w:tc>
          <w:tcPr>
            <w:tcMar>
              <w:left w:w="108" w:type="dxa"/>
              <w:top w:w="0" w:type="dxa"/>
              <w:right w:w="108" w:type="dxa"/>
              <w:bottom w:w="0" w:type="dxa"/>
            </w:tcMar>
            <w:tcW w:w="1191" w:type="dxa"/>
            <w:vAlign w:val="center"/>
            <w:textDirection w:val="lrTb"/>
            <w:noWrap w:val="false"/>
          </w:tcPr>
          <w:p>
            <w:pPr>
              <w:jc w:val="center"/>
              <w:spacing w:line="360" w:lineRule="auto"/>
              <w:widowControl/>
              <w:rPr>
                <w:rFonts w:hint="eastAsia" w:ascii="宋体" w:hAnsi="宋体" w:cs="宋体"/>
                <w:b/>
                <w:bCs/>
                <w:color w:val="auto"/>
                <w:sz w:val="24"/>
                <w:szCs w:val="24"/>
                <w:highlight w:val="none"/>
              </w:rPr>
            </w:pPr>
            <w:r>
              <w:rPr>
                <w:rFonts w:ascii="宋体" w:hAnsi="宋体" w:cs="宋体"/>
                <w:b/>
                <w:bCs/>
                <w:color w:val="auto"/>
                <w:sz w:val="24"/>
                <w:szCs w:val="24"/>
                <w:highlight w:val="none"/>
              </w:rPr>
              <w:t xml:space="preserve">备注</w:t>
            </w:r>
            <w:r>
              <w:rPr>
                <w:highlight w:val="none"/>
              </w:rPr>
            </w:r>
            <w:r/>
          </w:p>
        </w:tc>
      </w:tr>
      <w:tr>
        <w:trPr>
          <w:trHeight w:val="775"/>
        </w:trPr>
        <w:tc>
          <w:tcPr>
            <w:tcMar>
              <w:left w:w="108" w:type="dxa"/>
              <w:top w:w="0" w:type="dxa"/>
              <w:right w:w="108" w:type="dxa"/>
              <w:bottom w:w="0" w:type="dxa"/>
            </w:tcMar>
            <w:tcW w:w="821" w:type="dxa"/>
            <w:vAlign w:val="center"/>
            <w:textDirection w:val="lrTb"/>
            <w:noWrap w:val="false"/>
          </w:tcPr>
          <w:p>
            <w:pPr>
              <w:jc w:val="center"/>
              <w:spacing w:line="19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highlight w:val="none"/>
              </w:rPr>
            </w:r>
            <w:r/>
          </w:p>
        </w:tc>
        <w:tc>
          <w:tcPr>
            <w:tcMar>
              <w:left w:w="108" w:type="dxa"/>
              <w:top w:w="0" w:type="dxa"/>
              <w:right w:w="108" w:type="dxa"/>
              <w:bottom w:w="0" w:type="dxa"/>
            </w:tcMar>
            <w:tcW w:w="2779" w:type="dxa"/>
            <w:vAlign w:val="center"/>
            <w:textDirection w:val="lrTb"/>
            <w:noWrap w:val="false"/>
          </w:tcPr>
          <w:p>
            <w:pPr>
              <w:jc w:val="center"/>
              <w:spacing w:line="276"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句容市下蜀镇江家村312国道两侧倾倒建筑渣土区域生态环境综合整治项目 </w:t>
            </w:r>
            <w:r>
              <w:rPr>
                <w:highlight w:val="none"/>
              </w:rPr>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w:t>
            </w:r>
            <w:r>
              <w:rPr>
                <w:highlight w:val="none"/>
              </w:rPr>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highlight w:val="none"/>
              </w:rPr>
            </w:r>
            <w:r/>
          </w:p>
        </w:tc>
        <w:tc>
          <w:tcPr>
            <w:tcMar>
              <w:left w:w="108" w:type="dxa"/>
              <w:top w:w="0" w:type="dxa"/>
              <w:right w:w="108" w:type="dxa"/>
              <w:bottom w:w="0" w:type="dxa"/>
            </w:tcMar>
            <w:tcW w:w="2267" w:type="dxa"/>
            <w:vAlign w:val="center"/>
            <w:textDirection w:val="lrTb"/>
            <w:noWrap w:val="false"/>
          </w:tcPr>
          <w:p>
            <w:pPr>
              <w:jc w:val="center"/>
              <w:spacing w:line="276"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完成图纸及工程量清单内所有内容；质量：合格。</w:t>
            </w:r>
            <w:r>
              <w:rPr>
                <w:highlight w:val="none"/>
              </w:rPr>
            </w:r>
            <w:r/>
          </w:p>
        </w:tc>
        <w:tc>
          <w:tcPr>
            <w:tcMar>
              <w:left w:w="108" w:type="dxa"/>
              <w:top w:w="0" w:type="dxa"/>
              <w:right w:w="108" w:type="dxa"/>
              <w:bottom w:w="0" w:type="dxa"/>
            </w:tcMar>
            <w:tcW w:w="1191" w:type="dxa"/>
            <w:vAlign w:val="center"/>
            <w:textDirection w:val="lrTb"/>
            <w:noWrap w:val="false"/>
          </w:tcPr>
          <w:p>
            <w:pPr>
              <w:jc w:val="center"/>
              <w:spacing w:line="276"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tc>
      </w:tr>
    </w:tbl>
    <w:p>
      <w:pPr>
        <w:numPr>
          <w:ilvl w:val="0"/>
          <w:numId w:val="8"/>
        </w:numPr>
        <w:jc w:val="left"/>
        <w:spacing w:before="240" w:after="240"/>
        <w:widowControl/>
        <w:rPr>
          <w:rFonts w:hint="eastAsia" w:ascii="宋体" w:hAnsi="宋体" w:cs="宋体"/>
          <w:color w:val="auto"/>
          <w:sz w:val="24"/>
          <w:szCs w:val="24"/>
          <w:highlight w:val="none"/>
        </w:rPr>
      </w:pPr>
      <w:r>
        <w:rPr>
          <w:bCs/>
          <w:color w:val="auto"/>
          <w:sz w:val="24"/>
          <w:szCs w:val="24"/>
          <w:highlight w:val="none"/>
        </w:rPr>
        <w:t xml:space="preserve">本项目核心</w:t>
      </w:r>
      <w:r>
        <w:rPr>
          <w:rFonts w:hint="eastAsia"/>
          <w:bCs/>
          <w:color w:val="auto"/>
          <w:sz w:val="24"/>
          <w:szCs w:val="24"/>
          <w:highlight w:val="none"/>
        </w:rPr>
        <w:t xml:space="preserve">标的</w:t>
      </w:r>
      <w:r>
        <w:rPr>
          <w:bCs/>
          <w:color w:val="auto"/>
          <w:sz w:val="24"/>
          <w:szCs w:val="24"/>
          <w:highlight w:val="none"/>
        </w:rPr>
        <w:t xml:space="preserve">为：</w:t>
      </w:r>
      <w:bookmarkEnd w:id="916"/>
      <w:r>
        <w:rPr>
          <w:rFonts w:hint="eastAsia" w:ascii="宋体" w:hAnsi="宋体" w:cs="宋体"/>
          <w:color w:val="auto"/>
          <w:sz w:val="24"/>
          <w:szCs w:val="24"/>
          <w:highlight w:val="none"/>
          <w:lang w:eastAsia="zh-CN"/>
        </w:rPr>
        <w:t xml:space="preserve">句容市下蜀镇江家村312国道两侧倾倒建筑渣土区域生态环境综合整治项目 </w:t>
      </w:r>
      <w:r>
        <w:rPr>
          <w:highlight w:val="none"/>
        </w:rPr>
      </w:r>
      <w:r/>
    </w:p>
    <w:p>
      <w:pPr>
        <w:spacing w:line="400" w:lineRule="exact"/>
        <w:rPr>
          <w:rFonts w:hint="eastAsia"/>
          <w:color w:val="auto"/>
          <w:sz w:val="24"/>
          <w:szCs w:val="24"/>
          <w:highlight w:val="none"/>
        </w:rPr>
        <w:outlineLvl w:val="1"/>
      </w:pPr>
      <w:r>
        <w:rPr>
          <w:highlight w:val="none"/>
        </w:rPr>
      </w:r>
      <w:bookmarkStart w:id="918" w:name="_Toc32739"/>
      <w:r>
        <w:rPr>
          <w:highlight w:val="none"/>
        </w:rPr>
      </w:r>
      <w:bookmarkStart w:id="919" w:name="_Toc73364900"/>
      <w:r>
        <w:rPr>
          <w:highlight w:val="none"/>
        </w:rPr>
      </w:r>
      <w:bookmarkStart w:id="920" w:name="_Toc256000057"/>
      <w:r>
        <w:rPr>
          <w:highlight w:val="none"/>
        </w:rPr>
      </w:r>
      <w:bookmarkStart w:id="921" w:name="_Toc73365513"/>
      <w:r>
        <w:rPr>
          <w:rFonts w:hint="eastAsia" w:ascii="Times New Roman" w:eastAsia="宋体"/>
          <w:b/>
          <w:bCs/>
          <w:color w:val="auto"/>
          <w:sz w:val="24"/>
          <w:szCs w:val="24"/>
          <w:highlight w:val="none"/>
          <w:lang w:val="en-US" w:eastAsia="zh-CN" w:bidi="ar-SA"/>
        </w:rPr>
        <w:t xml:space="preserve">三.技术要求</w:t>
      </w:r>
      <w:bookmarkEnd w:id="918"/>
      <w:r>
        <w:rPr>
          <w:highlight w:val="none"/>
        </w:rPr>
      </w:r>
      <w:r/>
    </w:p>
    <w:p>
      <w:pPr>
        <w:spacing w:line="400" w:lineRule="exact"/>
        <w:rPr>
          <w:rFonts w:hint="eastAsia"/>
          <w:color w:val="auto"/>
          <w:sz w:val="24"/>
          <w:szCs w:val="24"/>
          <w:highlight w:val="none"/>
        </w:rPr>
        <w:outlineLvl w:val="2"/>
      </w:pPr>
      <w:r>
        <w:rPr>
          <w:highlight w:val="none"/>
        </w:rPr>
      </w:r>
      <w:bookmarkStart w:id="922" w:name="_Toc21283"/>
      <w:r>
        <w:rPr>
          <w:rFonts w:hint="eastAsia" w:ascii="Times New Roman" w:eastAsia="宋体"/>
          <w:color w:val="auto"/>
          <w:sz w:val="24"/>
          <w:szCs w:val="24"/>
          <w:highlight w:val="none"/>
          <w:lang w:val="en-US" w:eastAsia="zh-CN" w:bidi="ar-SA"/>
        </w:rPr>
        <w:t xml:space="preserve">(一)工程内容和标准</w:t>
      </w:r>
      <w:bookmarkEnd w:id="922"/>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1、完成工程量清单及图纸中的所有施工内容(清单及图纸详见附件)</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2、供应商对该工程所使用的全部材料、配件及工程质量负责，至少提供</w:t>
      </w:r>
      <w:r>
        <w:rPr>
          <w:rFonts w:hint="eastAsia"/>
          <w:color w:val="auto"/>
          <w:sz w:val="24"/>
          <w:szCs w:val="24"/>
          <w:highlight w:val="none"/>
          <w:lang w:val="en-US" w:eastAsia="zh-CN" w:bidi="ar-SA"/>
        </w:rPr>
        <w:t xml:space="preserve">二</w:t>
      </w:r>
      <w:r>
        <w:rPr>
          <w:rFonts w:hint="eastAsia" w:ascii="Times New Roman" w:eastAsia="宋体"/>
          <w:color w:val="auto"/>
          <w:sz w:val="24"/>
          <w:szCs w:val="24"/>
          <w:highlight w:val="none"/>
          <w:lang w:val="en-US" w:eastAsia="zh-CN" w:bidi="ar-SA"/>
        </w:rPr>
        <w:t xml:space="preserve">年全免费质保，从工程验收合格之日起计算，免费质保期间发生任何问题，供应商应在接到采购人通知后1小时内做出响应、并在3小时内安排人员到达现场。</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3、供应商须为本工程委派项目</w:t>
      </w:r>
      <w:r>
        <w:rPr>
          <w:rFonts w:hint="eastAsia"/>
          <w:color w:val="auto"/>
          <w:sz w:val="24"/>
          <w:szCs w:val="24"/>
          <w:highlight w:val="none"/>
          <w:lang w:val="en-US" w:eastAsia="zh-CN" w:bidi="ar-SA"/>
        </w:rPr>
        <w:t xml:space="preserve">经理</w:t>
      </w:r>
      <w:r>
        <w:rPr>
          <w:rFonts w:hint="eastAsia" w:ascii="Times New Roman" w:eastAsia="宋体"/>
          <w:color w:val="auto"/>
          <w:sz w:val="24"/>
          <w:szCs w:val="24"/>
          <w:highlight w:val="none"/>
          <w:lang w:val="en-US" w:eastAsia="zh-CN" w:bidi="ar-SA"/>
        </w:rPr>
        <w:t xml:space="preserve">，供应商必须保证项目</w:t>
      </w:r>
      <w:r>
        <w:rPr>
          <w:rFonts w:hint="eastAsia"/>
          <w:color w:val="auto"/>
          <w:sz w:val="24"/>
          <w:szCs w:val="24"/>
          <w:highlight w:val="none"/>
          <w:lang w:val="en-US" w:eastAsia="zh-CN" w:bidi="ar-SA"/>
        </w:rPr>
        <w:t xml:space="preserve">经理</w:t>
      </w:r>
      <w:r>
        <w:rPr>
          <w:rFonts w:hint="eastAsia" w:ascii="Times New Roman" w:eastAsia="宋体"/>
          <w:color w:val="auto"/>
          <w:sz w:val="24"/>
          <w:szCs w:val="24"/>
          <w:highlight w:val="none"/>
          <w:lang w:val="en-US" w:eastAsia="zh-CN" w:bidi="ar-SA"/>
        </w:rPr>
        <w:t xml:space="preserve">亲临现场进行巡视、指导，检查施工进度和质量；施工时间内项目施工员必须全程驻留工地。</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4、供应商须服从采购人现场管理、与采购人配合服务。</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5、未经采购人同意不得更换项目</w:t>
      </w:r>
      <w:r>
        <w:rPr>
          <w:rFonts w:hint="eastAsia"/>
          <w:color w:val="auto"/>
          <w:sz w:val="24"/>
          <w:szCs w:val="24"/>
          <w:highlight w:val="none"/>
          <w:lang w:val="en-US" w:eastAsia="zh-CN" w:bidi="ar-SA"/>
        </w:rPr>
        <w:t xml:space="preserve">经理</w:t>
      </w:r>
      <w:r>
        <w:rPr>
          <w:rFonts w:hint="eastAsia" w:ascii="Times New Roman" w:eastAsia="宋体"/>
          <w:color w:val="auto"/>
          <w:sz w:val="24"/>
          <w:szCs w:val="24"/>
          <w:highlight w:val="none"/>
          <w:lang w:val="en-US" w:eastAsia="zh-CN" w:bidi="ar-SA"/>
        </w:rPr>
        <w:t xml:space="preserve">及项目管理班子人员，否则采购人有权终止合同，由此引发的一切损失由中标人承担；项目经理</w:t>
      </w:r>
      <w:r>
        <w:rPr>
          <w:rFonts w:hint="eastAsia"/>
          <w:color w:val="auto"/>
          <w:sz w:val="24"/>
          <w:szCs w:val="24"/>
          <w:highlight w:val="none"/>
          <w:lang w:val="en-US" w:eastAsia="zh-CN" w:bidi="ar-SA"/>
        </w:rPr>
        <w:t xml:space="preserve">及</w:t>
      </w:r>
      <w:r>
        <w:rPr>
          <w:rFonts w:hint="eastAsia" w:ascii="Times New Roman" w:eastAsia="宋体"/>
          <w:color w:val="auto"/>
          <w:sz w:val="24"/>
          <w:szCs w:val="24"/>
          <w:highlight w:val="none"/>
          <w:lang w:val="en-US" w:eastAsia="zh-CN" w:bidi="ar-SA"/>
        </w:rPr>
        <w:t xml:space="preserve">项目主要管理人员在施工现场的时间要求</w:t>
      </w:r>
      <w:r>
        <w:rPr>
          <w:rFonts w:hint="eastAsia"/>
          <w:color w:val="auto"/>
          <w:sz w:val="24"/>
          <w:szCs w:val="24"/>
          <w:highlight w:val="none"/>
          <w:lang w:val="en-US" w:eastAsia="zh-CN" w:bidi="ar-SA"/>
        </w:rPr>
        <w:t xml:space="preserve">及</w:t>
      </w:r>
      <w:r>
        <w:rPr>
          <w:rFonts w:hint="eastAsia" w:ascii="Times New Roman" w:eastAsia="宋体"/>
          <w:color w:val="auto"/>
          <w:sz w:val="24"/>
          <w:szCs w:val="24"/>
          <w:highlight w:val="none"/>
          <w:lang w:val="en-US" w:eastAsia="zh-CN" w:bidi="ar-SA"/>
        </w:rPr>
        <w:t xml:space="preserve">离开施工现场的批准要求</w:t>
      </w:r>
      <w:r>
        <w:rPr>
          <w:rFonts w:hint="eastAsia"/>
          <w:color w:val="auto"/>
          <w:sz w:val="24"/>
          <w:szCs w:val="24"/>
          <w:highlight w:val="none"/>
          <w:lang w:val="en-US" w:eastAsia="zh-CN" w:bidi="ar-SA"/>
        </w:rPr>
        <w:t xml:space="preserve">按照采购合同执行。</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6、项目完工后必须提供本项目最终的详细图纸及相关全部资料(装订成册)。</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7、供应商可以提供的其他服务措施和承诺。</w:t>
      </w:r>
      <w:r>
        <w:rPr>
          <w:highlight w:val="none"/>
        </w:rPr>
      </w:r>
      <w:r/>
    </w:p>
    <w:p>
      <w:pPr>
        <w:spacing w:line="400" w:lineRule="exact"/>
        <w:rPr>
          <w:color w:val="auto"/>
          <w:sz w:val="24"/>
          <w:szCs w:val="24"/>
          <w:highlight w:val="none"/>
        </w:rPr>
        <w:outlineLvl w:val="1"/>
      </w:pPr>
      <w:r>
        <w:rPr>
          <w:highlight w:val="none"/>
        </w:rPr>
      </w:r>
      <w:bookmarkStart w:id="923" w:name="_Toc16410"/>
      <w:r>
        <w:rPr>
          <w:rFonts w:hint="eastAsia" w:ascii="Times New Roman" w:eastAsia="宋体"/>
          <w:b/>
          <w:bCs/>
          <w:color w:val="auto"/>
          <w:spacing w:val="-4"/>
          <w:sz w:val="24"/>
          <w:szCs w:val="24"/>
          <w:highlight w:val="none"/>
          <w:lang w:val="en-US" w:eastAsia="zh-CN" w:bidi="ar-SA"/>
        </w:rPr>
        <w:t xml:space="preserve">四、</w:t>
      </w:r>
      <w:r>
        <w:rPr>
          <w:b/>
          <w:bCs/>
          <w:color w:val="auto"/>
          <w:spacing w:val="-4"/>
          <w:sz w:val="24"/>
          <w:szCs w:val="24"/>
          <w:highlight w:val="none"/>
          <w:lang w:val="en-US" w:eastAsia="zh-CN" w:bidi="ar-SA"/>
        </w:rPr>
        <w:t xml:space="preserve">其他技术要求</w:t>
      </w:r>
      <w:bookmarkEnd w:id="923"/>
      <w:r>
        <w:rPr>
          <w:highlight w:val="none"/>
        </w:rPr>
      </w:r>
      <w:r/>
    </w:p>
    <w:p>
      <w:pPr>
        <w:ind w:right="95" w:firstLine="476"/>
        <w:spacing w:line="400" w:lineRule="exact"/>
        <w:rPr>
          <w:color w:val="auto"/>
          <w:sz w:val="24"/>
          <w:szCs w:val="24"/>
          <w:highlight w:val="none"/>
        </w:rPr>
        <w:outlineLvl w:val="9"/>
      </w:pPr>
      <w:r>
        <w:rPr>
          <w:rFonts w:ascii="Calibri" w:hAnsi="Calibri" w:eastAsia="Calibri" w:cs="Calibri"/>
          <w:color w:val="auto"/>
          <w:spacing w:val="-1"/>
          <w:sz w:val="24"/>
          <w:szCs w:val="24"/>
          <w:highlight w:val="none"/>
          <w:lang w:val="en-US" w:eastAsia="zh-CN" w:bidi="ar-SA"/>
        </w:rPr>
        <w:t xml:space="preserve">1.</w:t>
      </w:r>
      <w:r>
        <w:rPr>
          <w:color w:val="auto"/>
          <w:spacing w:val="-1"/>
          <w:sz w:val="24"/>
          <w:szCs w:val="24"/>
          <w:highlight w:val="none"/>
          <w:lang w:val="en-US" w:eastAsia="zh-CN" w:bidi="ar-SA"/>
        </w:rPr>
        <w:t xml:space="preserve">磋商报价应以磋商文件提供的工程量为基础作明细报价，供应商应认真进行现场勘测并</w:t>
      </w:r>
      <w:r>
        <w:rPr>
          <w:color w:val="auto"/>
          <w:sz w:val="24"/>
          <w:szCs w:val="24"/>
          <w:highlight w:val="none"/>
          <w:lang w:val="en-US" w:eastAsia="zh-CN" w:bidi="ar-SA"/>
        </w:rPr>
        <w:t xml:space="preserve">认真核对磋商文件提供的工程量清单。磋商响应文件中提供的</w:t>
      </w:r>
      <w:r>
        <w:rPr>
          <w:color w:val="auto"/>
          <w:spacing w:val="-1"/>
          <w:sz w:val="24"/>
          <w:szCs w:val="24"/>
          <w:highlight w:val="none"/>
          <w:lang w:val="en-US" w:eastAsia="zh-CN" w:bidi="ar-SA"/>
        </w:rPr>
        <w:t xml:space="preserve">工程量清单如有缺项、漏项、数量不足或不明确等情况，各供应商应及时提出，否则一切后</w:t>
      </w:r>
      <w:r>
        <w:rPr>
          <w:color w:val="auto"/>
          <w:spacing w:val="-2"/>
          <w:sz w:val="24"/>
          <w:szCs w:val="24"/>
          <w:highlight w:val="none"/>
          <w:lang w:val="en-US" w:eastAsia="zh-CN" w:bidi="ar-SA"/>
        </w:rPr>
        <w:t xml:space="preserve">果由供应商自行承担。</w:t>
      </w:r>
      <w:r>
        <w:rPr>
          <w:color w:val="auto"/>
          <w:sz w:val="24"/>
          <w:szCs w:val="24"/>
          <w:highlight w:val="none"/>
          <w:lang w:val="en-US" w:eastAsia="zh-CN" w:bidi="ar-SA"/>
        </w:rPr>
        <w:t xml:space="preserve"> 成交并签定合同后采购人将不再承担采购范围内除合同总价之外</w:t>
      </w:r>
      <w:r>
        <w:rPr>
          <w:color w:val="auto"/>
          <w:spacing w:val="-1"/>
          <w:sz w:val="24"/>
          <w:szCs w:val="24"/>
          <w:highlight w:val="none"/>
          <w:lang w:val="en-US" w:eastAsia="zh-CN" w:bidi="ar-SA"/>
        </w:rPr>
        <w:t xml:space="preserve">的任何费用</w:t>
      </w:r>
      <w:r>
        <w:rPr>
          <w:rFonts w:ascii="Calibri" w:hAnsi="Calibri" w:eastAsia="Calibri" w:cs="Calibri"/>
          <w:color w:val="auto"/>
          <w:spacing w:val="-1"/>
          <w:sz w:val="24"/>
          <w:szCs w:val="24"/>
          <w:highlight w:val="none"/>
          <w:lang w:val="en-US" w:eastAsia="zh-CN" w:bidi="ar-SA"/>
        </w:rPr>
        <w:t xml:space="preserve">(</w:t>
      </w:r>
      <w:r>
        <w:rPr>
          <w:color w:val="auto"/>
          <w:spacing w:val="-1"/>
          <w:sz w:val="24"/>
          <w:szCs w:val="24"/>
          <w:highlight w:val="none"/>
          <w:lang w:val="en-US" w:eastAsia="zh-CN" w:bidi="ar-SA"/>
        </w:rPr>
        <w:t xml:space="preserve">必须按采购</w:t>
      </w:r>
      <w:r>
        <w:rPr>
          <w:color w:val="auto"/>
          <w:sz w:val="24"/>
          <w:szCs w:val="24"/>
          <w:highlight w:val="none"/>
          <w:lang w:val="en-US" w:eastAsia="zh-CN" w:bidi="ar-SA"/>
        </w:rPr>
        <w:t xml:space="preserve">要求或工程量清单中项目特征描述施工，材料使用满足磋商文</w:t>
      </w:r>
      <w:r>
        <w:rPr>
          <w:color w:val="auto"/>
          <w:spacing w:val="-1"/>
          <w:sz w:val="24"/>
          <w:szCs w:val="24"/>
          <w:highlight w:val="none"/>
          <w:lang w:val="en-US" w:eastAsia="zh-CN" w:bidi="ar-SA"/>
        </w:rPr>
        <w:t xml:space="preserve">件要求，拆除工程及清运工</w:t>
      </w:r>
      <w:r>
        <w:rPr>
          <w:color w:val="auto"/>
          <w:spacing w:val="-5"/>
          <w:sz w:val="24"/>
          <w:szCs w:val="24"/>
          <w:highlight w:val="none"/>
          <w:lang w:val="en-US" w:eastAsia="zh-CN" w:bidi="ar-SA"/>
        </w:rPr>
        <w:t xml:space="preserve">作等自行计算并包含在报价内</w:t>
      </w:r>
      <w:r>
        <w:rPr>
          <w:rFonts w:ascii="Calibri" w:hAnsi="Calibri" w:eastAsia="Calibri" w:cs="Calibri"/>
          <w:color w:val="auto"/>
          <w:spacing w:val="-5"/>
          <w:sz w:val="24"/>
          <w:szCs w:val="24"/>
          <w:highlight w:val="none"/>
          <w:lang w:val="en-US" w:eastAsia="zh-CN" w:bidi="ar-SA"/>
        </w:rPr>
        <w:t xml:space="preserve">)</w:t>
      </w:r>
      <w:r>
        <w:rPr>
          <w:color w:val="auto"/>
          <w:spacing w:val="-5"/>
          <w:sz w:val="24"/>
          <w:szCs w:val="24"/>
          <w:highlight w:val="none"/>
          <w:lang w:val="en-US" w:eastAsia="zh-CN" w:bidi="ar-SA"/>
        </w:rPr>
        <w:t xml:space="preserve">。凡与本工程有关的主材、辅材（包括照明等等） 和安装全</w:t>
      </w:r>
      <w:r>
        <w:rPr>
          <w:color w:val="auto"/>
          <w:spacing w:val="-1"/>
          <w:sz w:val="24"/>
          <w:szCs w:val="24"/>
          <w:highlight w:val="none"/>
          <w:lang w:val="en-US" w:eastAsia="zh-CN" w:bidi="ar-SA"/>
        </w:rPr>
        <w:t xml:space="preserve">部包含在内，除采购人明确提出需要工程调整或变更外</w:t>
      </w:r>
      <w:r>
        <w:rPr>
          <w:color w:val="auto"/>
          <w:spacing w:val="-2"/>
          <w:sz w:val="24"/>
          <w:szCs w:val="24"/>
          <w:highlight w:val="none"/>
          <w:lang w:val="en-US" w:eastAsia="zh-CN" w:bidi="ar-SA"/>
        </w:rPr>
        <w:t xml:space="preserve">，不再增加任何费用。</w:t>
      </w:r>
      <w:r>
        <w:rPr>
          <w:highlight w:val="none"/>
        </w:rPr>
      </w:r>
      <w:r/>
    </w:p>
    <w:p>
      <w:pPr>
        <w:ind w:left="265" w:right="95" w:firstLine="477"/>
        <w:spacing w:line="400" w:lineRule="exact"/>
        <w:rPr>
          <w:color w:val="auto"/>
          <w:spacing w:val="-4"/>
          <w:sz w:val="24"/>
          <w:szCs w:val="24"/>
          <w:highlight w:val="none"/>
        </w:rPr>
        <w:outlineLvl w:val="9"/>
      </w:pPr>
      <w:r>
        <w:rPr>
          <w:rFonts w:ascii="Calibri" w:hAnsi="Calibri" w:eastAsia="Calibri" w:cs="Calibri"/>
          <w:color w:val="auto"/>
          <w:sz w:val="24"/>
          <w:szCs w:val="24"/>
          <w:highlight w:val="none"/>
          <w:lang w:val="en-US" w:eastAsia="zh-CN" w:bidi="ar-SA"/>
        </w:rPr>
        <w:t xml:space="preserve">2.</w:t>
      </w:r>
      <w:r>
        <w:rPr>
          <w:color w:val="auto"/>
          <w:sz w:val="24"/>
          <w:szCs w:val="24"/>
          <w:highlight w:val="none"/>
          <w:lang w:val="en-US" w:eastAsia="zh-CN" w:bidi="ar-SA"/>
        </w:rPr>
        <w:t xml:space="preserve">材料进场、垃圾外运时需注意对业主方道路、道板及</w:t>
      </w:r>
      <w:r>
        <w:rPr>
          <w:color w:val="auto"/>
          <w:spacing w:val="-1"/>
          <w:sz w:val="24"/>
          <w:szCs w:val="24"/>
          <w:highlight w:val="none"/>
          <w:lang w:val="en-US" w:eastAsia="zh-CN" w:bidi="ar-SA"/>
        </w:rPr>
        <w:t xml:space="preserve">绿化的保护，如有损坏，乙方应恢</w:t>
      </w:r>
      <w:r>
        <w:rPr>
          <w:color w:val="auto"/>
          <w:spacing w:val="-4"/>
          <w:sz w:val="24"/>
          <w:szCs w:val="24"/>
          <w:highlight w:val="none"/>
          <w:lang w:val="en-US" w:eastAsia="zh-CN" w:bidi="ar-SA"/>
        </w:rPr>
        <w:t xml:space="preserve">复原样，相关维修费由乙方自理。</w:t>
      </w:r>
      <w:r>
        <w:rPr>
          <w:highlight w:val="none"/>
        </w:rPr>
      </w:r>
      <w:r/>
    </w:p>
    <w:p>
      <w:pPr>
        <w:ind w:left="44" w:right="95" w:hanging="2"/>
        <w:spacing w:line="400" w:lineRule="exact"/>
        <w:rPr>
          <w:rFonts w:hint="eastAsia"/>
          <w:b/>
          <w:bCs/>
          <w:color w:val="auto"/>
          <w:spacing w:val="-4"/>
          <w:sz w:val="24"/>
          <w:szCs w:val="24"/>
          <w:highlight w:val="none"/>
        </w:rPr>
        <w:outlineLvl w:val="9"/>
      </w:pPr>
      <w:r>
        <w:rPr>
          <w:rFonts w:hint="eastAsia"/>
          <w:b/>
          <w:bCs/>
          <w:color w:val="auto"/>
          <w:spacing w:val="-4"/>
          <w:sz w:val="24"/>
          <w:szCs w:val="24"/>
          <w:highlight w:val="none"/>
        </w:rPr>
      </w:r>
      <w:r>
        <w:rPr>
          <w:highlight w:val="none"/>
        </w:rPr>
      </w:r>
      <w:r/>
    </w:p>
    <w:p>
      <w:pPr>
        <w:ind w:left="44" w:right="95" w:hanging="2"/>
        <w:spacing w:line="400" w:lineRule="exact"/>
        <w:rPr>
          <w:rFonts w:hint="eastAsia"/>
          <w:b/>
          <w:bCs/>
          <w:color w:val="auto"/>
          <w:spacing w:val="-4"/>
          <w:sz w:val="24"/>
          <w:szCs w:val="24"/>
          <w:highlight w:val="none"/>
        </w:rPr>
        <w:outlineLvl w:val="1"/>
      </w:pPr>
      <w:r>
        <w:rPr>
          <w:highlight w:val="none"/>
        </w:rPr>
      </w:r>
      <w:bookmarkStart w:id="924" w:name="_Toc25535"/>
      <w:r>
        <w:rPr>
          <w:rFonts w:hint="eastAsia" w:ascii="Times New Roman" w:eastAsia="宋体"/>
          <w:b/>
          <w:bCs/>
          <w:color w:val="auto"/>
          <w:spacing w:val="-4"/>
          <w:sz w:val="24"/>
          <w:szCs w:val="24"/>
          <w:highlight w:val="none"/>
          <w:lang w:val="en-US" w:eastAsia="zh-CN" w:bidi="ar-SA"/>
        </w:rPr>
        <w:t xml:space="preserve">五.交付（实施）的时间（期限）和地点（范围）</w:t>
      </w:r>
      <w:bookmarkEnd w:id="924"/>
      <w:r>
        <w:rPr>
          <w:highlight w:val="none"/>
        </w:rPr>
      </w:r>
      <w:r/>
    </w:p>
    <w:p>
      <w:pPr>
        <w:ind w:left="265" w:right="96" w:firstLine="229"/>
        <w:spacing w:line="400" w:lineRule="exact"/>
        <w:rPr>
          <w:rFonts w:hint="eastAsia" w:ascii="Times New Roman" w:eastAsia="宋体"/>
          <w:color w:val="auto"/>
          <w:sz w:val="24"/>
          <w:szCs w:val="24"/>
          <w:highlight w:val="none"/>
          <w:u w:val="single"/>
        </w:rPr>
        <w:outlineLvl w:val="9"/>
      </w:pPr>
      <w:r>
        <w:rPr>
          <w:rFonts w:hint="eastAsia" w:ascii="Times New Roman" w:eastAsia="宋体"/>
          <w:color w:val="auto"/>
          <w:spacing w:val="-4"/>
          <w:sz w:val="24"/>
          <w:szCs w:val="24"/>
          <w:highlight w:val="none"/>
          <w:lang w:val="en-US" w:eastAsia="zh-CN" w:bidi="ar-SA"/>
        </w:rPr>
        <w:t xml:space="preserve">1、项目工期要求：</w:t>
      </w:r>
      <w:r>
        <w:rPr>
          <w:rFonts w:hint="eastAsia" w:ascii="Times New Roman" w:eastAsia="宋体"/>
          <w:color w:val="auto"/>
          <w:sz w:val="24"/>
          <w:szCs w:val="24"/>
          <w:highlight w:val="none"/>
          <w:u w:val="single"/>
          <w:lang w:val="en-US" w:eastAsia="zh-CN" w:bidi="ar-SA"/>
        </w:rPr>
        <w:t xml:space="preserve">施工工期30日历天（林地区域绿化养护期一年）</w:t>
      </w:r>
      <w:r>
        <w:rPr>
          <w:highlight w:val="none"/>
        </w:rPr>
      </w:r>
      <w:r/>
    </w:p>
    <w:p>
      <w:pPr>
        <w:ind w:right="96" w:firstLine="464"/>
        <w:spacing w:line="400" w:lineRule="exact"/>
        <w:rPr>
          <w:rFonts w:hint="eastAsia"/>
          <w:color w:val="auto"/>
          <w:sz w:val="24"/>
          <w:szCs w:val="24"/>
          <w:highlight w:val="none"/>
        </w:rPr>
        <w:outlineLvl w:val="9"/>
      </w:pPr>
      <w:r>
        <w:rPr>
          <w:rFonts w:hint="eastAsia" w:ascii="Times New Roman" w:eastAsia="宋体"/>
          <w:color w:val="auto"/>
          <w:spacing w:val="-4"/>
          <w:sz w:val="24"/>
          <w:szCs w:val="24"/>
          <w:highlight w:val="none"/>
          <w:lang w:val="en-US" w:eastAsia="zh-CN" w:bidi="ar-SA"/>
        </w:rPr>
        <w:t xml:space="preserve">2、项目实施地点：采购人指定地点。</w:t>
      </w:r>
      <w:r>
        <w:rPr>
          <w:highlight w:val="none"/>
        </w:rPr>
      </w:r>
      <w:r/>
    </w:p>
    <w:p>
      <w:pPr>
        <w:spacing w:line="400" w:lineRule="exact"/>
        <w:rPr>
          <w:rFonts w:hint="eastAsia"/>
          <w:b/>
          <w:bCs/>
          <w:color w:val="auto"/>
          <w:sz w:val="24"/>
          <w:szCs w:val="24"/>
          <w:highlight w:val="none"/>
        </w:rPr>
        <w:outlineLvl w:val="9"/>
      </w:pPr>
      <w:r>
        <w:rPr>
          <w:rFonts w:hint="eastAsia"/>
          <w:b/>
          <w:bCs/>
          <w:color w:val="auto"/>
          <w:sz w:val="24"/>
          <w:szCs w:val="24"/>
          <w:highlight w:val="none"/>
        </w:rPr>
      </w:r>
      <w:r>
        <w:rPr>
          <w:highlight w:val="none"/>
        </w:rPr>
      </w:r>
      <w:r/>
    </w:p>
    <w:p>
      <w:pPr>
        <w:spacing w:line="400" w:lineRule="exact"/>
        <w:rPr>
          <w:rFonts w:hint="eastAsia"/>
          <w:b/>
          <w:bCs/>
          <w:color w:val="auto"/>
          <w:sz w:val="24"/>
          <w:szCs w:val="24"/>
          <w:highlight w:val="none"/>
        </w:rPr>
        <w:outlineLvl w:val="1"/>
      </w:pPr>
      <w:r>
        <w:rPr>
          <w:highlight w:val="none"/>
        </w:rPr>
      </w:r>
      <w:bookmarkStart w:id="925" w:name="_Toc7461"/>
      <w:r>
        <w:rPr>
          <w:rFonts w:hint="eastAsia" w:ascii="Times New Roman" w:eastAsia="宋体"/>
          <w:b/>
          <w:bCs/>
          <w:color w:val="auto"/>
          <w:sz w:val="24"/>
          <w:szCs w:val="24"/>
          <w:highlight w:val="none"/>
          <w:lang w:val="en-US" w:eastAsia="zh-CN" w:bidi="ar-SA"/>
        </w:rPr>
        <w:t xml:space="preserve">六.磋商报价要求</w:t>
      </w:r>
      <w:bookmarkEnd w:id="925"/>
      <w:r>
        <w:rPr>
          <w:highlight w:val="none"/>
        </w:rPr>
      </w:r>
      <w:r/>
    </w:p>
    <w:p>
      <w:pPr>
        <w:ind w:firstLine="480"/>
        <w:spacing w:line="400" w:lineRule="exact"/>
        <w:rPr>
          <w:rFonts w:hint="eastAsia"/>
          <w:color w:val="auto"/>
          <w:sz w:val="24"/>
          <w:szCs w:val="24"/>
          <w:highlight w:val="none"/>
        </w:rPr>
        <w:outlineLvl w:val="2"/>
      </w:pPr>
      <w:r>
        <w:rPr>
          <w:highlight w:val="none"/>
        </w:rPr>
      </w:r>
      <w:bookmarkStart w:id="926" w:name="_Toc6173"/>
      <w:r>
        <w:rPr>
          <w:rFonts w:hint="eastAsia" w:ascii="Times New Roman" w:eastAsia="宋体"/>
          <w:color w:val="auto"/>
          <w:sz w:val="24"/>
          <w:szCs w:val="24"/>
          <w:highlight w:val="none"/>
          <w:lang w:val="en-US" w:eastAsia="zh-CN" w:bidi="ar-SA"/>
        </w:rPr>
        <w:t xml:space="preserve">1、磋商报价要求</w:t>
      </w:r>
      <w:bookmarkEnd w:id="926"/>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1.1 供应商对本项目所提供的工程建设服务，应报出最具有竞争力的价格。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rPr>
          <w:highlight w:val="none"/>
        </w:rPr>
      </w:r>
      <w:r/>
    </w:p>
    <w:p>
      <w:pPr>
        <w:ind w:firstLine="480"/>
        <w:spacing w:line="400" w:lineRule="exact"/>
        <w:rPr>
          <w:rFonts w:hint="eastAsia"/>
          <w:color w:val="auto"/>
          <w:sz w:val="24"/>
          <w:szCs w:val="24"/>
          <w:highlight w:val="none"/>
        </w:rPr>
        <w:outlineLvl w:val="9"/>
      </w:pPr>
      <w:r>
        <w:rPr>
          <w:rFonts w:hint="eastAsia"/>
          <w:color w:val="auto"/>
          <w:sz w:val="24"/>
          <w:szCs w:val="24"/>
          <w:highlight w:val="none"/>
        </w:rPr>
      </w:r>
      <w:r>
        <w:rPr>
          <w:highlight w:val="none"/>
        </w:rPr>
      </w:r>
      <w:r/>
    </w:p>
    <w:p>
      <w:pPr>
        <w:ind w:firstLine="480"/>
        <w:spacing w:line="400" w:lineRule="exact"/>
        <w:rPr>
          <w:rFonts w:hint="eastAsia"/>
          <w:color w:val="auto"/>
          <w:sz w:val="24"/>
          <w:szCs w:val="24"/>
          <w:highlight w:val="none"/>
        </w:rPr>
        <w:outlineLvl w:val="2"/>
      </w:pPr>
      <w:r>
        <w:rPr>
          <w:highlight w:val="none"/>
        </w:rPr>
      </w:r>
      <w:bookmarkStart w:id="927" w:name="_Toc13608"/>
      <w:r>
        <w:rPr>
          <w:rFonts w:hint="eastAsia" w:ascii="Times New Roman" w:eastAsia="宋体"/>
          <w:color w:val="auto"/>
          <w:sz w:val="24"/>
          <w:szCs w:val="24"/>
          <w:highlight w:val="none"/>
          <w:lang w:val="en-US" w:eastAsia="zh-CN" w:bidi="ar-SA"/>
        </w:rPr>
        <w:t xml:space="preserve">2、磋商报价编制要求</w:t>
      </w:r>
      <w:bookmarkEnd w:id="927"/>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2.1报价时以采购人提供的工程量清单，按照工程量清单计价格式，依据市场行情自主进行投标报价；</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2.2供应商不得将不可竞争费用(费率)降低标准计取，计费低于或高于规定标准的将不得推荐为中标候选人。不可竞争费包括现场安全文明施工措施费、规费、税金、暂估价、暂列金额，具体标准详见本项目《工程量清单》。</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rPr>
          <w:highlight w:val="none"/>
        </w:rPr>
      </w:r>
      <w:r/>
    </w:p>
    <w:p>
      <w:pPr>
        <w:ind w:firstLine="480"/>
        <w:widowControl/>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2.4采购人提供的暂列金额，该部分价格供应商不得下浮，但须包含在磋商报价中。暂列金额部分除合同另有约定外，由采购人结合工程具体情况，指令全部或部分使用，或者根本不予动用；(暂列金额详见本项目《工程量清单》</w:t>
      </w:r>
      <w:r>
        <w:rPr>
          <w:rFonts w:hint="eastAsia" w:ascii="Times New Roman" w:eastAsia="宋体"/>
          <w:color w:val="auto"/>
          <w:sz w:val="24"/>
          <w:szCs w:val="24"/>
          <w:highlight w:val="none"/>
          <w:lang w:val="en-US" w:eastAsia="zh-CN" w:bidi="ar"/>
        </w:rPr>
        <w:t xml:space="preserve">）； </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2.6工程量清单计价成果文件必须按照磋商文件所提供的格式填入；</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2.7对于甲供的设备和材料，供应商负责现场卸车和保管，费用计入磋商报价中，该费用包干使用；</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2.8磋商文件中《合同主要条款》中明确的由承包人承担的或考虑的所有工作及内容所发生的各项费用，供应商应综合考虑后一并计入磋商报价中；</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2.9采购人反对盲目压价，供应商应根据工程实际情况和本企业经营管理水平，充分考虑合同期间的市场风险，确定合理报价。</w:t>
      </w:r>
      <w:r>
        <w:rPr>
          <w:highlight w:val="none"/>
        </w:rPr>
      </w:r>
      <w:r/>
    </w:p>
    <w:p>
      <w:pPr>
        <w:ind w:firstLine="480"/>
        <w:spacing w:line="400" w:lineRule="exact"/>
        <w:rPr>
          <w:rFonts w:hint="eastAsia"/>
          <w:color w:val="auto"/>
          <w:sz w:val="24"/>
          <w:szCs w:val="24"/>
          <w:highlight w:val="none"/>
        </w:rPr>
        <w:outlineLvl w:val="9"/>
      </w:pPr>
      <w:r>
        <w:rPr>
          <w:rFonts w:hint="eastAsia"/>
          <w:color w:val="auto"/>
          <w:sz w:val="24"/>
          <w:szCs w:val="24"/>
          <w:highlight w:val="none"/>
        </w:rPr>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3、每种工程量只允许有一种报价，任何有选择报价将不予接受。供应商必须对磋商文件中所采购的所有工程量进行报价，只报其中部分工程量的磋商响应文件无效。</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4、供应商应严格按磋商文件提供的工程量清单报价，不得随意合并或增减。</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5、供应商应按工程量清单中列出的工程项目填报单价和合价，供应商未填单价或合价或未列出的工程项目，在工程实施后，采购人将不予以支付，并视作该项费用已包括在工程总报价中。</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6、供应商应按磋商文件的要求在响应文件里提供磋商首轮报价，并根据首轮报价在所附的首轮明细报价表上列明所提供工程的明细报价（已标价的工程量清单）。</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7、实质性响应的供应商应按磋商小组要求在规定时间提交最后报价。</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8、在磋商过程中未对磋商内容作出实质性变更、修改的情况下，如最后报价超过首轮报价，则最后报价无效，以其首轮报价作为最终报价。</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9、最低磋商报价不能作为成交的唯一保证。</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10、磋商最后报价即为合同签约价。</w:t>
      </w:r>
      <w:r>
        <w:rPr>
          <w:highlight w:val="none"/>
        </w:rPr>
      </w:r>
      <w:r/>
    </w:p>
    <w:p>
      <w:pPr>
        <w:ind w:firstLine="480"/>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11、磋商响应货币：磋商响应文件中的所有设备单价和总价采用人民币报价，以元为单位标注。</w:t>
      </w:r>
      <w:r>
        <w:rPr>
          <w:highlight w:val="none"/>
        </w:rPr>
      </w:r>
      <w:r/>
    </w:p>
    <w:p>
      <w:pPr>
        <w:ind w:firstLine="480"/>
        <w:spacing w:line="400" w:lineRule="exact"/>
        <w:rPr>
          <w:rFonts w:hint="eastAsia"/>
          <w:color w:val="auto"/>
          <w:sz w:val="24"/>
          <w:szCs w:val="24"/>
          <w:highlight w:val="none"/>
        </w:rPr>
        <w:outlineLvl w:val="9"/>
      </w:pPr>
      <w:r>
        <w:rPr>
          <w:rFonts w:hint="eastAsia"/>
          <w:color w:val="auto"/>
          <w:sz w:val="24"/>
          <w:szCs w:val="24"/>
          <w:highlight w:val="none"/>
        </w:rPr>
      </w:r>
      <w:r>
        <w:rPr>
          <w:highlight w:val="none"/>
        </w:rPr>
      </w:r>
      <w:r/>
    </w:p>
    <w:p>
      <w:pPr>
        <w:ind w:firstLine="480"/>
        <w:spacing w:line="400" w:lineRule="exact"/>
        <w:rPr>
          <w:rFonts w:hint="eastAsia"/>
          <w:color w:val="auto"/>
          <w:sz w:val="24"/>
          <w:szCs w:val="24"/>
          <w:highlight w:val="none"/>
        </w:rPr>
        <w:outlineLvl w:val="9"/>
      </w:pPr>
      <w:r>
        <w:rPr>
          <w:rFonts w:hint="eastAsia"/>
          <w:color w:val="auto"/>
          <w:sz w:val="24"/>
          <w:szCs w:val="24"/>
          <w:highlight w:val="none"/>
        </w:rPr>
      </w:r>
      <w:r>
        <w:rPr>
          <w:highlight w:val="none"/>
        </w:rPr>
      </w:r>
      <w:r/>
    </w:p>
    <w:p>
      <w:pPr>
        <w:spacing w:line="400" w:lineRule="exact"/>
        <w:rPr>
          <w:rFonts w:hint="eastAsia"/>
          <w:color w:val="auto"/>
          <w:sz w:val="24"/>
          <w:szCs w:val="24"/>
          <w:highlight w:val="none"/>
        </w:rPr>
        <w:outlineLvl w:val="1"/>
      </w:pPr>
      <w:r>
        <w:rPr>
          <w:highlight w:val="none"/>
        </w:rPr>
      </w:r>
      <w:bookmarkStart w:id="928" w:name="_Toc27106"/>
      <w:r>
        <w:rPr>
          <w:rFonts w:hint="eastAsia" w:ascii="Times New Roman" w:eastAsia="宋体"/>
          <w:b/>
          <w:bCs/>
          <w:color w:val="auto"/>
          <w:sz w:val="24"/>
          <w:szCs w:val="24"/>
          <w:highlight w:val="none"/>
          <w:lang w:val="en-US" w:eastAsia="zh-CN" w:bidi="ar-SA"/>
        </w:rPr>
        <w:t xml:space="preserve">七、验收要求</w:t>
      </w:r>
      <w:bookmarkEnd w:id="928"/>
      <w:r>
        <w:rPr>
          <w:highlight w:val="none"/>
        </w:rPr>
      </w:r>
      <w:r/>
    </w:p>
    <w:p>
      <w:pPr>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(1)由采购人及有关部门</w:t>
      </w:r>
      <w:r>
        <w:rPr>
          <w:rFonts w:hint="eastAsia"/>
          <w:color w:val="auto"/>
          <w:sz w:val="24"/>
          <w:szCs w:val="24"/>
          <w:highlight w:val="none"/>
          <w:lang w:val="en-US" w:eastAsia="zh-CN" w:bidi="ar-SA"/>
        </w:rPr>
        <w:t xml:space="preserve">根据清单、图纸及合同约定的内容</w:t>
      </w:r>
      <w:r>
        <w:rPr>
          <w:rFonts w:hint="eastAsia" w:ascii="Times New Roman" w:eastAsia="宋体"/>
          <w:color w:val="auto"/>
          <w:sz w:val="24"/>
          <w:szCs w:val="24"/>
          <w:highlight w:val="none"/>
          <w:lang w:val="en-US" w:eastAsia="zh-CN" w:bidi="ar-SA"/>
        </w:rPr>
        <w:t xml:space="preserve">进行验收；</w:t>
      </w:r>
      <w:r>
        <w:rPr>
          <w:highlight w:val="none"/>
        </w:rPr>
      </w:r>
      <w:r/>
    </w:p>
    <w:p>
      <w:pPr>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rPr>
          <w:highlight w:val="none"/>
        </w:rPr>
      </w:r>
      <w:r/>
    </w:p>
    <w:p>
      <w:pPr>
        <w:spacing w:line="400" w:lineRule="exact"/>
        <w:rPr>
          <w:rFonts w:hint="eastAsia"/>
          <w:color w:val="auto"/>
          <w:sz w:val="24"/>
          <w:szCs w:val="24"/>
          <w:highlight w:val="none"/>
        </w:rPr>
        <w:outlineLvl w:val="9"/>
      </w:pPr>
      <w:r>
        <w:rPr>
          <w:rFonts w:hint="eastAsia" w:ascii="Times New Roman" w:eastAsia="宋体"/>
          <w:color w:val="auto"/>
          <w:sz w:val="24"/>
          <w:szCs w:val="24"/>
          <w:highlight w:val="none"/>
          <w:lang w:val="en-US" w:eastAsia="zh-CN" w:bidi="ar-SA"/>
        </w:rPr>
        <w:t xml:space="preserve">(3)成交供应商在完工期内完成项目施工，提出书面验收申请，采购方组织相关专家进行验收，验收标准为磋商文件及投标文件各项要求，国家或行业有规定的，还要符合相应规定。</w:t>
      </w:r>
      <w:r>
        <w:rPr>
          <w:highlight w:val="none"/>
        </w:rPr>
      </w:r>
      <w:r/>
    </w:p>
    <w:p>
      <w:pPr>
        <w:spacing w:line="400" w:lineRule="exact"/>
        <w:rPr>
          <w:rFonts w:hint="eastAsia"/>
          <w:color w:val="auto"/>
          <w:sz w:val="24"/>
          <w:szCs w:val="24"/>
          <w:highlight w:val="none"/>
        </w:rPr>
        <w:outlineLvl w:val="9"/>
      </w:pPr>
      <w:r>
        <w:rPr>
          <w:rFonts w:hint="eastAsia"/>
          <w:color w:val="auto"/>
          <w:sz w:val="24"/>
          <w:szCs w:val="24"/>
          <w:highlight w:val="none"/>
        </w:rPr>
      </w:r>
      <w:r>
        <w:rPr>
          <w:highlight w:val="none"/>
        </w:rPr>
      </w:r>
      <w:r/>
    </w:p>
    <w:p>
      <w:pPr>
        <w:spacing w:line="400" w:lineRule="exact"/>
        <w:rPr>
          <w:rFonts w:hint="eastAsia"/>
          <w:b/>
          <w:bCs/>
          <w:color w:val="auto"/>
          <w:sz w:val="24"/>
          <w:szCs w:val="24"/>
          <w:highlight w:val="none"/>
        </w:rPr>
        <w:outlineLvl w:val="1"/>
      </w:pPr>
      <w:r>
        <w:rPr>
          <w:highlight w:val="none"/>
        </w:rPr>
      </w:r>
      <w:bookmarkStart w:id="929" w:name="_Toc22340"/>
      <w:r>
        <w:rPr>
          <w:rFonts w:hint="eastAsia" w:ascii="Times New Roman" w:eastAsia="宋体"/>
          <w:b/>
          <w:bCs/>
          <w:color w:val="auto"/>
          <w:sz w:val="24"/>
          <w:szCs w:val="24"/>
          <w:highlight w:val="none"/>
          <w:lang w:val="en-US" w:eastAsia="zh-CN" w:bidi="ar-SA"/>
        </w:rPr>
        <w:t xml:space="preserve">八.其他要求</w:t>
      </w:r>
      <w:bookmarkEnd w:id="929"/>
      <w:r>
        <w:rPr>
          <w:highlight w:val="none"/>
        </w:rPr>
      </w:r>
      <w:r/>
    </w:p>
    <w:p>
      <w:pPr>
        <w:spacing w:line="400" w:lineRule="exact"/>
        <w:rPr>
          <w:rFonts w:hint="eastAsia" w:ascii="Times New Roman" w:eastAsia="宋体"/>
          <w:color w:val="auto"/>
          <w:sz w:val="24"/>
          <w:szCs w:val="24"/>
          <w:highlight w:val="none"/>
        </w:rPr>
        <w:outlineLvl w:val="2"/>
      </w:pPr>
      <w:r>
        <w:rPr>
          <w:highlight w:val="none"/>
        </w:rPr>
      </w:r>
      <w:bookmarkStart w:id="930" w:name="_Toc26176"/>
      <w:r>
        <w:rPr>
          <w:rFonts w:hint="eastAsia" w:ascii="Times New Roman" w:eastAsia="宋体"/>
          <w:color w:val="auto"/>
          <w:sz w:val="24"/>
          <w:szCs w:val="24"/>
          <w:highlight w:val="none"/>
          <w:lang w:val="en-US" w:eastAsia="zh-CN" w:bidi="ar-SA"/>
        </w:rPr>
        <w:t xml:space="preserve">1、本项目禁止分包。</w:t>
      </w:r>
      <w:bookmarkEnd w:id="930"/>
      <w:r>
        <w:rPr>
          <w:highlight w:val="none"/>
        </w:rPr>
      </w:r>
      <w:r/>
    </w:p>
    <w:p>
      <w:pPr>
        <w:rPr>
          <w:rFonts w:hint="eastAsia"/>
          <w:color w:val="auto"/>
          <w:sz w:val="20"/>
          <w:highlight w:val="none"/>
        </w:rPr>
        <w:outlineLvl w:val="9"/>
      </w:pPr>
      <w:r>
        <w:rPr>
          <w:rFonts w:hint="eastAsia"/>
          <w:color w:val="auto"/>
          <w:sz w:val="24"/>
          <w:szCs w:val="24"/>
          <w:highlight w:val="none"/>
          <w:lang w:val="en-US" w:eastAsia="zh-CN" w:bidi="ar-SA"/>
        </w:rPr>
        <w:t xml:space="preserve"> </w:t>
      </w:r>
      <w:r>
        <w:rPr>
          <w:rFonts w:hint="eastAsia" w:ascii="Times New Roman" w:eastAsia="宋体"/>
          <w:color w:val="auto"/>
          <w:sz w:val="20"/>
          <w:highlight w:val="none"/>
          <w:lang w:val="en-US" w:eastAsia="zh-CN" w:bidi="ar-SA"/>
        </w:rPr>
        <w:t xml:space="preserve"> </w:t>
      </w:r>
      <w:r>
        <w:rPr>
          <w:rFonts w:ascii="宋体" w:hAnsi="宋体"/>
          <w:b/>
          <w:color w:val="auto"/>
          <w:sz w:val="36"/>
          <w:highlight w:val="none"/>
          <w:lang w:val="en-US" w:eastAsia="zh-CN" w:bidi="ar-SA"/>
        </w:rPr>
        <w:br w:type="page" w:clear="all"/>
      </w:r>
      <w:r>
        <w:rPr>
          <w:highlight w:val="none"/>
        </w:rPr>
      </w:r>
      <w:r/>
    </w:p>
    <w:p>
      <w:pPr>
        <w:pStyle w:val="1000"/>
        <w:jc w:val="center"/>
        <w:rPr>
          <w:rFonts w:hint="eastAsia" w:ascii="宋体" w:hAnsi="宋体"/>
          <w:color w:val="auto"/>
          <w:sz w:val="36"/>
          <w:highlight w:val="none"/>
        </w:rPr>
      </w:pPr>
      <w:r>
        <w:rPr>
          <w:rFonts w:hint="eastAsia" w:ascii="宋体" w:hAnsi="宋体"/>
          <w:color w:val="auto"/>
          <w:sz w:val="36"/>
          <w:highlight w:val="none"/>
          <w:lang w:eastAsia="zh-CN"/>
        </w:rPr>
        <w:t xml:space="preserve">第五部分  磋商及评审</w:t>
      </w:r>
      <w:bookmarkEnd w:id="919"/>
      <w:r>
        <w:rPr>
          <w:highlight w:val="none"/>
        </w:rPr>
      </w:r>
      <w:bookmarkEnd w:id="920"/>
      <w:r>
        <w:rPr>
          <w:highlight w:val="none"/>
        </w:rPr>
      </w:r>
      <w:bookmarkEnd w:id="921"/>
      <w:r>
        <w:rPr>
          <w:highlight w:val="none"/>
        </w:rPr>
      </w:r>
      <w:r/>
    </w:p>
    <w:p>
      <w:pPr>
        <w:pStyle w:val="1002"/>
        <w:ind w:firstLine="321"/>
        <w:jc w:val="left"/>
        <w:spacing w:line="400" w:lineRule="exact"/>
        <w:rPr>
          <w:rFonts w:hint="eastAsia" w:ascii="宋体" w:hAnsi="宋体" w:eastAsia="宋体"/>
          <w:color w:val="auto"/>
          <w:sz w:val="32"/>
          <w:highlight w:val="none"/>
        </w:rPr>
      </w:pPr>
      <w:r>
        <w:rPr>
          <w:highlight w:val="none"/>
        </w:rPr>
      </w:r>
      <w:bookmarkStart w:id="931" w:name="_Toc256000058"/>
      <w:r>
        <w:rPr>
          <w:highlight w:val="none"/>
        </w:rPr>
      </w:r>
      <w:bookmarkStart w:id="932" w:name="_Toc73364901"/>
      <w:r>
        <w:rPr>
          <w:highlight w:val="none"/>
        </w:rPr>
      </w:r>
      <w:bookmarkStart w:id="933" w:name="_Toc73365514"/>
      <w:r>
        <w:rPr>
          <w:rFonts w:hint="eastAsia" w:ascii="宋体" w:hAnsi="宋体" w:eastAsia="宋体"/>
          <w:color w:val="auto"/>
          <w:sz w:val="32"/>
          <w:highlight w:val="none"/>
          <w:lang w:eastAsia="zh-CN"/>
        </w:rPr>
        <w:t xml:space="preserve">1．</w:t>
      </w:r>
      <w:r>
        <w:rPr>
          <w:rFonts w:ascii="宋体" w:hAnsi="宋体" w:eastAsia="宋体"/>
          <w:color w:val="auto"/>
          <w:sz w:val="32"/>
          <w:highlight w:val="none"/>
          <w:lang w:eastAsia="zh-CN"/>
        </w:rPr>
        <w:t xml:space="preserve">磋商小组职责</w:t>
      </w:r>
      <w:bookmarkEnd w:id="931"/>
      <w:r>
        <w:rPr>
          <w:highlight w:val="none"/>
        </w:rPr>
      </w:r>
      <w:bookmarkEnd w:id="932"/>
      <w:r>
        <w:rPr>
          <w:highlight w:val="none"/>
        </w:rPr>
      </w:r>
      <w:bookmarkEnd w:id="933"/>
      <w:r>
        <w:rPr>
          <w:highlight w:val="none"/>
        </w:rPr>
      </w:r>
      <w:r/>
    </w:p>
    <w:p>
      <w:pPr>
        <w:ind w:firstLine="42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rPr>
          <w:highlight w:val="none"/>
        </w:rPr>
      </w:r>
      <w:r/>
    </w:p>
    <w:p>
      <w:pPr>
        <w:ind w:firstLine="42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rPr>
          <w:highlight w:val="none"/>
        </w:rPr>
      </w:r>
      <w:r/>
    </w:p>
    <w:p>
      <w:pPr>
        <w:ind w:firstLine="42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1.3起草评审报告并进行签署。</w:t>
      </w:r>
      <w:r>
        <w:rPr>
          <w:highlight w:val="none"/>
        </w:rPr>
      </w:r>
      <w:r/>
    </w:p>
    <w:p>
      <w:pPr>
        <w:ind w:firstLine="42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1.4推荐成交候选供应商。</w:t>
      </w:r>
      <w:r>
        <w:rPr>
          <w:highlight w:val="none"/>
        </w:rPr>
      </w:r>
      <w:r/>
    </w:p>
    <w:p>
      <w:pPr>
        <w:ind w:firstLine="42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rPr>
          <w:highlight w:val="none"/>
        </w:rPr>
      </w:r>
      <w:r/>
    </w:p>
    <w:p>
      <w:pPr>
        <w:ind w:firstLine="42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1.6法律、法规和规章规定的其他职责。</w:t>
      </w:r>
      <w:r>
        <w:rPr>
          <w:highlight w:val="none"/>
        </w:rPr>
      </w:r>
      <w:r/>
    </w:p>
    <w:p>
      <w:pPr>
        <w:pStyle w:val="1002"/>
        <w:ind w:firstLine="321"/>
        <w:jc w:val="left"/>
        <w:spacing w:line="400" w:lineRule="exact"/>
        <w:rPr>
          <w:rFonts w:hint="eastAsia" w:ascii="宋体" w:hAnsi="宋体" w:eastAsia="宋体"/>
          <w:color w:val="auto"/>
          <w:sz w:val="32"/>
          <w:highlight w:val="none"/>
        </w:rPr>
      </w:pPr>
      <w:r>
        <w:rPr>
          <w:highlight w:val="none"/>
        </w:rPr>
      </w:r>
      <w:bookmarkStart w:id="934" w:name="_Toc73365515"/>
      <w:r>
        <w:rPr>
          <w:highlight w:val="none"/>
        </w:rPr>
      </w:r>
      <w:bookmarkStart w:id="935" w:name="_Toc256000059"/>
      <w:r>
        <w:rPr>
          <w:highlight w:val="none"/>
        </w:rPr>
      </w:r>
      <w:bookmarkStart w:id="936" w:name="_Toc73364902"/>
      <w:r>
        <w:rPr>
          <w:rFonts w:hint="eastAsia" w:ascii="宋体" w:hAnsi="宋体" w:eastAsia="宋体"/>
          <w:color w:val="auto"/>
          <w:sz w:val="32"/>
          <w:highlight w:val="none"/>
          <w:lang w:eastAsia="zh-CN"/>
        </w:rPr>
        <w:t xml:space="preserve">2．磋商及评审程序</w:t>
      </w:r>
      <w:bookmarkEnd w:id="934"/>
      <w:r>
        <w:rPr>
          <w:highlight w:val="none"/>
        </w:rPr>
      </w:r>
      <w:bookmarkEnd w:id="935"/>
      <w:r>
        <w:rPr>
          <w:highlight w:val="none"/>
        </w:rPr>
      </w:r>
      <w:bookmarkEnd w:id="936"/>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2.5磋商小组将对供应商进行符合性审查，对首次响应文件进行有效性、完整性和响应程度审查。未通过审查的供应商不得参与磋商，磋商小组应书面告知供应商并说明理由。</w:t>
      </w:r>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highlight w:val="none"/>
        </w:rPr>
      </w:r>
      <w:r/>
    </w:p>
    <w:p>
      <w:pPr>
        <w:ind w:firstLine="426"/>
        <w:spacing w:line="360" w:lineRule="auto"/>
        <w:rPr>
          <w:rFonts w:hint="eastAsia" w:ascii="宋体" w:hAnsi="宋体"/>
          <w:b/>
          <w:bCs/>
          <w:color w:val="auto"/>
          <w:highlight w:val="none"/>
        </w:rPr>
      </w:pPr>
      <w:r>
        <w:rPr>
          <w:rFonts w:hint="eastAsia" w:ascii="宋体" w:hAnsi="宋体"/>
          <w:b/>
          <w:bCs/>
          <w:color w:val="auto"/>
          <w:sz w:val="24"/>
          <w:highlight w:val="none"/>
        </w:rPr>
        <w:t xml:space="preserve">供应商未在磋商小组规定的时间（自发起20分钟）内完成最后报价的视为放弃报价，自动退出此次磋商，其响应按无效响应处理，不参与后续的项目流程。最后报价须加盖电子签章。</w:t>
      </w:r>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rPr>
          <w:highlight w:val="none"/>
        </w:rPr>
      </w:r>
      <w:r/>
    </w:p>
    <w:p>
      <w:pPr>
        <w:ind w:firstLine="425"/>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rPr>
          <w:highlight w:val="none"/>
        </w:rPr>
      </w:r>
      <w:r/>
    </w:p>
    <w:p>
      <w:pPr>
        <w:ind w:firstLine="425"/>
        <w:spacing w:line="360" w:lineRule="auto"/>
        <w:rPr>
          <w:rFonts w:hint="eastAsia" w:ascii="宋体" w:hAnsi="宋体"/>
          <w:color w:val="auto"/>
          <w:sz w:val="24"/>
          <w:highlight w:val="none"/>
        </w:rPr>
      </w:pPr>
      <w:r>
        <w:rPr>
          <w:rFonts w:hint="eastAsia" w:ascii="宋体" w:hAnsi="宋体"/>
          <w:color w:val="auto"/>
          <w:sz w:val="24"/>
          <w:highlight w:val="none"/>
        </w:rPr>
        <w:t xml:space="preserve">2.12推荐成交候选供应商，并出具书面评审报告。</w:t>
      </w:r>
      <w:r>
        <w:rPr>
          <w:highlight w:val="none"/>
        </w:rPr>
      </w:r>
      <w:r/>
    </w:p>
    <w:p>
      <w:pPr>
        <w:pStyle w:val="1002"/>
        <w:ind w:firstLine="321"/>
        <w:jc w:val="left"/>
        <w:spacing w:before="0" w:after="0" w:line="400" w:lineRule="exact"/>
        <w:rPr>
          <w:rFonts w:hint="eastAsia" w:ascii="宋体" w:hAnsi="宋体" w:eastAsia="宋体"/>
          <w:color w:val="auto"/>
          <w:sz w:val="32"/>
          <w:highlight w:val="none"/>
        </w:rPr>
      </w:pPr>
      <w:r>
        <w:rPr>
          <w:highlight w:val="none"/>
        </w:rPr>
      </w:r>
      <w:bookmarkStart w:id="937" w:name="_Toc256000064"/>
      <w:r>
        <w:rPr>
          <w:highlight w:val="none"/>
        </w:rPr>
      </w:r>
      <w:bookmarkStart w:id="938" w:name="_Toc73365520"/>
      <w:r>
        <w:rPr>
          <w:highlight w:val="none"/>
        </w:rPr>
      </w:r>
      <w:bookmarkStart w:id="939" w:name="_Toc73364907"/>
      <w:r>
        <w:rPr>
          <w:rFonts w:hint="eastAsia" w:ascii="宋体" w:hAnsi="宋体" w:eastAsia="宋体"/>
          <w:color w:val="auto"/>
          <w:sz w:val="32"/>
          <w:highlight w:val="none"/>
          <w:lang w:eastAsia="zh-CN"/>
        </w:rPr>
        <w:t xml:space="preserve">3．供应商资格审查</w:t>
      </w:r>
      <w:r>
        <w:rPr>
          <w:highlight w:val="none"/>
        </w:rPr>
      </w:r>
      <w:r/>
    </w:p>
    <w:p>
      <w:pPr>
        <w:pStyle w:val="811"/>
        <w:rPr>
          <w:color w:val="auto"/>
          <w:highlight w:val="none"/>
        </w:rPr>
      </w:pPr>
      <w:r>
        <w:rPr>
          <w:color w:val="auto"/>
          <w:highlight w:val="none"/>
        </w:rPr>
      </w:r>
      <w:r>
        <w:rPr>
          <w:highlight w:val="none"/>
        </w:rPr>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开启结束后，采购人将依法对供应商的资格进行审查。资格审查的内容如下：</w:t>
      </w:r>
      <w:r>
        <w:rPr>
          <w:highlight w:val="none"/>
        </w:rPr>
      </w:r>
      <w:r/>
    </w:p>
    <w:p>
      <w:pPr>
        <w:rPr>
          <w:color w:val="auto"/>
          <w:sz w:val="20"/>
          <w:highlight w:val="none"/>
        </w:rPr>
      </w:pPr>
      <w:r>
        <w:rPr>
          <w:highlight w:val="none"/>
        </w:rPr>
      </w:r>
      <w:bookmarkStart w:id="940" w:name="EB26dcd70bebb54979b7a4b621de125d2f"/>
      <w:r>
        <w:rPr>
          <w:highlight w:val="none"/>
        </w:rPr>
      </w:r>
      <w:r/>
    </w:p>
    <w:tbl>
      <w:tblPr>
        <w:tblStyle w:val="781"/>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395"/>
        <w:gridCol w:w="7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序号</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审查要素</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审查内容</w:t>
            </w:r>
            <w:r>
              <w:rPr>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1</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具有独立承担民事责任的能力</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法人或者其他组织的营业执照等证明文件；自然人的身份证。</w:t>
            </w:r>
            <w:r>
              <w:rPr>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2</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具有良好的商业信誉和健全的财务会计制度</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62"/>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提供2023年或2024年度财务报告，成立不满一年的提供至少一个月财务报告，或银行出具的资信证明，或财政部门认可的政府采购专业担保机构出具的磋商担保函等，或者提供资格承诺函。</w:t>
            </w:r>
            <w:r>
              <w:rPr>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3</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具有履行合同所必需的设备和专业技术能力</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62"/>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提供具有履行合同所必需的设备和专业技术能力的书面声明或者提供资格承诺函。</w:t>
            </w:r>
            <w:r>
              <w:rPr>
                <w:highlight w:val="none"/>
              </w:rPr>
            </w:r>
            <w:r/>
          </w:p>
        </w:tc>
      </w:tr>
      <w:tr>
        <w:trPr>
          <w:trHeight w:val="899"/>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4</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有依法缴纳税收和社会保障资金的良好记录</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62"/>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提供参加本次政府采购活动前半年内至少一个月依法缴纳税收和社会保险的凭据，或者提供资格承诺函。</w:t>
            </w:r>
            <w:r>
              <w:rPr>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5</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参加政府采购活动前三年内，在经营活动中没有重大违法记录</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（1）磋商承诺函</w:t>
            </w:r>
            <w:r>
              <w:rPr>
                <w:rFonts w:hint="eastAsia" w:ascii="宋体" w:hAnsi="宋体" w:eastAsia="宋体" w:cs="宋体"/>
                <w:color w:val="auto"/>
                <w:sz w:val="21"/>
                <w:highlight w:val="none"/>
              </w:rPr>
              <w:t xml:space="preserve">或者提供资格承诺函</w:t>
            </w:r>
            <w:r>
              <w:rPr>
                <w:rFonts w:ascii="宋体" w:hAnsi="宋体" w:eastAsia="宋体" w:cs="宋体"/>
                <w:color w:val="auto"/>
                <w:sz w:val="21"/>
                <w:highlight w:val="none"/>
              </w:rPr>
              <w:t xml:space="preserve">。</w:t>
            </w:r>
            <w:r>
              <w:rPr>
                <w:highlight w:val="none"/>
              </w:rPr>
            </w:r>
            <w:r/>
          </w:p>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highlight w:val="none"/>
              </w:rPr>
            </w:r>
            <w:r/>
          </w:p>
        </w:tc>
      </w:tr>
      <w:tr>
        <w:trPr>
          <w:trHeight w:val="1238"/>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6</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62"/>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落实政府采购政策需满足的资格要求</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62"/>
              <w:jc w:val="center"/>
              <w:rPr>
                <w:rFonts w:hint="eastAsia" w:ascii="宋体" w:hAnsi="宋体" w:eastAsia="宋体" w:cs="宋体"/>
                <w:b/>
                <w:color w:val="auto"/>
                <w:sz w:val="21"/>
                <w:szCs w:val="21"/>
                <w:highlight w:val="none"/>
              </w:rPr>
            </w:pPr>
            <w:r>
              <w:rPr>
                <w:rFonts w:hint="eastAsia" w:ascii="宋体" w:hAnsi="宋体" w:eastAsia="宋体" w:cs="宋体"/>
                <w:color w:val="auto"/>
                <w:sz w:val="21"/>
                <w:highlight w:val="none"/>
              </w:rPr>
              <w:t xml:space="preserve">本项目属于专门面向中小微企业采购的项目。(提供中小企业声明函）。</w:t>
            </w:r>
            <w:r>
              <w:rPr>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62"/>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62"/>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本项目特定资格要求</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ind w:firstLine="480"/>
              <w:jc w:val="left"/>
              <w:spacing w:line="440" w:lineRule="exact"/>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1、投标人具有环保工程专业承包三级及以上资质，并取得安全生产许可证（提供有效期内的证书扫描件加盖公章）；</w:t>
            </w:r>
            <w:r>
              <w:rPr>
                <w:highlight w:val="none"/>
              </w:rPr>
            </w:r>
            <w:r/>
          </w:p>
          <w:p>
            <w:pPr>
              <w:ind w:firstLine="480"/>
              <w:jc w:val="left"/>
              <w:spacing w:line="440" w:lineRule="exact"/>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2、拟派项目经理为本公司正式员工,具有注册建造师证市政公用工程二级(含)以上并且具有安全生产考核B类合格证（提供有效期内的证书扫描件加盖公章）；</w:t>
            </w:r>
            <w:r>
              <w:rPr>
                <w:highlight w:val="none"/>
              </w:rPr>
            </w:r>
            <w:r/>
          </w:p>
          <w:p>
            <w:pPr>
              <w:ind w:firstLine="480"/>
              <w:jc w:val="left"/>
              <w:spacing w:line="440" w:lineRule="exact"/>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3、项目经理须提供近一个月供应商为其缴纳社会保险的证明材料。【注：社会保险证明：①如供应商注册所在地人力资源和社会保障部门明确的最大查询期与招标文件规定的月份不一致时，须提供相应的文件规定；②项目经理达到国家法定退休年龄的或项目经理未达到国家法定退休年龄，但提前退休的，无需提供社保证明材料，但需提供退休证明材料（退休证明和有效的劳务合同）。】</w:t>
            </w:r>
            <w:r>
              <w:rPr>
                <w:highlight w:val="none"/>
              </w:rPr>
            </w:r>
            <w:r/>
          </w:p>
          <w:p>
            <w:pPr>
              <w:ind w:firstLine="480"/>
              <w:jc w:val="left"/>
              <w:spacing w:line="440" w:lineRule="exact"/>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4、供应商承诺项目经理无在建工程( 项目</w:t>
            </w:r>
            <w:r>
              <w:rPr>
                <w:rFonts w:hint="eastAsia" w:ascii="宋体" w:hAnsi="宋体" w:cs="宋体"/>
                <w:color w:val="auto"/>
                <w:sz w:val="21"/>
                <w:szCs w:val="24"/>
                <w:highlight w:val="none"/>
                <w:lang w:val="en-US" w:eastAsia="zh-CN"/>
              </w:rPr>
              <w:t xml:space="preserve">经理</w:t>
            </w:r>
            <w:r>
              <w:rPr>
                <w:rFonts w:hint="eastAsia" w:ascii="宋体" w:hAnsi="宋体" w:eastAsia="宋体" w:cs="宋体"/>
                <w:color w:val="auto"/>
                <w:sz w:val="21"/>
                <w:szCs w:val="24"/>
                <w:highlight w:val="none"/>
                <w:lang w:val="en-US" w:eastAsia="zh-CN"/>
              </w:rPr>
              <w:t xml:space="preserve">不得同时在其他企业担任法定代表人、分公司负责人、董事长、总经理、董事、执行董事、监事、财务负责人等企业高级管理岗位;项目</w:t>
            </w:r>
            <w:r>
              <w:rPr>
                <w:rFonts w:hint="eastAsia" w:ascii="宋体" w:hAnsi="宋体" w:cs="宋体"/>
                <w:color w:val="auto"/>
                <w:sz w:val="21"/>
                <w:szCs w:val="24"/>
                <w:highlight w:val="none"/>
                <w:lang w:val="en-US" w:eastAsia="zh-CN"/>
              </w:rPr>
              <w:t xml:space="preserve">经理</w:t>
            </w:r>
            <w:r>
              <w:rPr>
                <w:rFonts w:hint="eastAsia" w:ascii="宋体" w:hAnsi="宋体" w:eastAsia="宋体" w:cs="宋体"/>
                <w:color w:val="auto"/>
                <w:sz w:val="21"/>
                <w:szCs w:val="24"/>
                <w:highlight w:val="none"/>
                <w:lang w:val="en-US" w:eastAsia="zh-CN"/>
              </w:rPr>
              <w:t xml:space="preserve">不得是个体工商户经营者;项目</w:t>
            </w:r>
            <w:r>
              <w:rPr>
                <w:rFonts w:hint="eastAsia" w:ascii="宋体" w:hAnsi="宋体" w:cs="宋体"/>
                <w:color w:val="auto"/>
                <w:sz w:val="21"/>
                <w:szCs w:val="24"/>
                <w:highlight w:val="none"/>
                <w:lang w:val="en-US" w:eastAsia="zh-CN"/>
              </w:rPr>
              <w:t xml:space="preserve">经理</w:t>
            </w:r>
            <w:r>
              <w:rPr>
                <w:rFonts w:hint="eastAsia" w:ascii="宋体" w:hAnsi="宋体" w:eastAsia="宋体" w:cs="宋体"/>
                <w:color w:val="auto"/>
                <w:sz w:val="21"/>
                <w:szCs w:val="24"/>
                <w:highlight w:val="none"/>
                <w:lang w:val="en-US" w:eastAsia="zh-CN"/>
              </w:rPr>
              <w:t xml:space="preserve">不得在其他项目中担任管理层职务。)(供应商提供承诺书，格式自拟)</w:t>
            </w:r>
            <w:r>
              <w:rPr>
                <w:highlight w:val="none"/>
              </w:rPr>
            </w:r>
            <w:r/>
          </w:p>
          <w:p>
            <w:pPr>
              <w:ind w:firstLine="480"/>
              <w:jc w:val="left"/>
              <w:spacing w:line="440" w:lineRule="exact"/>
              <w:rPr>
                <w:rFonts w:hint="eastAsia" w:ascii="宋体" w:hAnsi="宋体"/>
                <w:color w:val="auto"/>
                <w:sz w:val="24"/>
                <w:szCs w:val="28"/>
                <w:highlight w:val="none"/>
                <w:u w:val="none"/>
              </w:rPr>
            </w:pPr>
            <w:r>
              <w:rPr>
                <w:rFonts w:hint="eastAsia" w:ascii="宋体" w:hAnsi="宋体" w:eastAsia="宋体" w:cs="宋体"/>
                <w:color w:val="auto"/>
                <w:sz w:val="21"/>
                <w:szCs w:val="24"/>
                <w:highlight w:val="none"/>
                <w:lang w:val="en-US" w:eastAsia="zh-CN"/>
              </w:rPr>
              <w:t xml:space="preserve">5、本工程执行省建设厅《关于开展建筑业企业资质动态监管工作的公告》（[2018]第6号）相关规定，要求供应商动态监管核查结果合格，核查结果不合格的，不得参加投标（核查资质指招标文件所要求的相应资质，提供核查结果截图）</w:t>
            </w:r>
            <w:r>
              <w:rPr>
                <w:highlight w:val="none"/>
              </w:rPr>
            </w:r>
            <w:r/>
          </w:p>
          <w:p>
            <w:pPr>
              <w:ind w:firstLine="480"/>
              <w:spacing w:line="360" w:lineRule="auto"/>
              <w:rPr>
                <w:rFonts w:hint="eastAsia" w:ascii="宋体" w:hAnsi="宋体" w:eastAsia="宋体"/>
                <w:color w:val="auto"/>
                <w:sz w:val="24"/>
                <w:szCs w:val="28"/>
                <w:highlight w:val="none"/>
              </w:rPr>
            </w:pPr>
            <w:r>
              <w:rPr>
                <w:rFonts w:hint="eastAsia" w:ascii="宋体" w:hAnsi="宋体" w:eastAsia="宋体"/>
                <w:color w:val="auto"/>
                <w:sz w:val="24"/>
                <w:szCs w:val="28"/>
                <w:highlight w:val="none"/>
              </w:rPr>
            </w:r>
            <w:r>
              <w:rPr>
                <w:highlight w:val="none"/>
              </w:rPr>
            </w:r>
            <w:r/>
          </w:p>
        </w:tc>
      </w:tr>
    </w:tbl>
    <w:p>
      <w:pPr>
        <w:rPr>
          <w:color w:val="auto"/>
          <w:highlight w:val="none"/>
        </w:rPr>
      </w:pPr>
      <w:r>
        <w:rPr>
          <w:rFonts w:hint="eastAsia"/>
          <w:color w:val="auto"/>
          <w:sz w:val="20"/>
          <w:highlight w:val="none"/>
        </w:rPr>
        <w:t xml:space="preserve"> </w:t>
      </w:r>
      <w:bookmarkEnd w:id="940"/>
      <w:r>
        <w:rPr>
          <w:highlight w:val="none"/>
        </w:rPr>
      </w:r>
      <w:bookmarkStart w:id="941" w:name="EB211f29febcfc44e799be42b999126ad4"/>
      <w:r>
        <w:rPr>
          <w:rFonts w:hint="eastAsia"/>
          <w:color w:val="auto"/>
          <w:sz w:val="20"/>
          <w:highlight w:val="none"/>
        </w:rPr>
        <w:t xml:space="preserve"> </w:t>
      </w:r>
      <w:bookmarkEnd w:id="941"/>
      <w:r>
        <w:rPr>
          <w:highlight w:val="none"/>
        </w:rPr>
      </w:r>
      <w:r/>
    </w:p>
    <w:p>
      <w:pPr>
        <w:pStyle w:val="1002"/>
        <w:ind w:firstLine="321"/>
        <w:jc w:val="left"/>
        <w:spacing w:before="0" w:after="0" w:line="400" w:lineRule="exact"/>
        <w:rPr>
          <w:rFonts w:hint="eastAsia" w:ascii="宋体" w:hAnsi="宋体" w:eastAsia="宋体"/>
          <w:color w:val="auto"/>
          <w:sz w:val="32"/>
          <w:highlight w:val="none"/>
        </w:rPr>
      </w:pPr>
      <w:r>
        <w:rPr>
          <w:highlight w:val="none"/>
        </w:rPr>
      </w:r>
      <w:bookmarkStart w:id="942" w:name="_Toc256000061"/>
      <w:r>
        <w:rPr>
          <w:highlight w:val="none"/>
        </w:rPr>
      </w:r>
      <w:bookmarkStart w:id="943" w:name="_Toc73365517"/>
      <w:r>
        <w:rPr>
          <w:highlight w:val="none"/>
        </w:rPr>
      </w:r>
      <w:bookmarkStart w:id="944" w:name="_Toc73364904"/>
      <w:r>
        <w:rPr>
          <w:rFonts w:hint="eastAsia" w:ascii="宋体" w:hAnsi="宋体" w:eastAsia="宋体"/>
          <w:color w:val="auto"/>
          <w:sz w:val="32"/>
          <w:highlight w:val="none"/>
          <w:lang w:eastAsia="zh-CN"/>
        </w:rPr>
        <w:t xml:space="preserve">4．磋商响应文件的有效性、完整性和响应程度审查</w:t>
      </w:r>
      <w:bookmarkEnd w:id="942"/>
      <w:r>
        <w:rPr>
          <w:highlight w:val="none"/>
        </w:rPr>
      </w:r>
      <w:bookmarkEnd w:id="943"/>
      <w:r>
        <w:rPr>
          <w:highlight w:val="none"/>
        </w:rPr>
      </w:r>
      <w:bookmarkEnd w:id="944"/>
      <w:r>
        <w:rPr>
          <w:highlight w:val="none"/>
        </w:rPr>
      </w:r>
      <w:r/>
    </w:p>
    <w:p>
      <w:pPr>
        <w:rPr>
          <w:color w:val="auto"/>
          <w:highlight w:val="none"/>
        </w:rPr>
      </w:pPr>
      <w:r>
        <w:rPr>
          <w:highlight w:val="none"/>
        </w:rPr>
      </w:r>
      <w:bookmarkStart w:id="945" w:name="EB5ff77f62222b43a48ee845bbfe38b65b"/>
      <w:r>
        <w:rPr>
          <w:highlight w:val="none"/>
        </w:rPr>
      </w:r>
      <w:r/>
    </w:p>
    <w:tbl>
      <w:tblPr>
        <w:tblStyle w:val="781"/>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序号</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审查要素</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审查内容</w:t>
            </w:r>
            <w:r>
              <w:rPr>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1</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响应文件有效性</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电子响应文件的有效电子签章。磋商报价。若有委托代理人，供应商为委托代理人缴纳的社保证明材料。未发现属无效响应的其他情形。</w:t>
            </w:r>
            <w:r>
              <w:rPr>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2</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响应文件完整性</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响应文件内容完整性、齐全性。</w:t>
            </w:r>
            <w:r>
              <w:rPr>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3</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对磋商文件响应程度</w:t>
            </w:r>
            <w:r>
              <w:rPr>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6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审查响应文件与磋商文件要求的主要条款、条件和技术规格是否相符，是否存在重大偏离或保留。</w:t>
            </w:r>
            <w:r>
              <w:rPr>
                <w:highlight w:val="none"/>
              </w:rPr>
            </w:r>
            <w:r/>
          </w:p>
        </w:tc>
      </w:tr>
    </w:tbl>
    <w:p>
      <w:pPr>
        <w:rPr>
          <w:color w:val="auto"/>
          <w:sz w:val="20"/>
          <w:highlight w:val="none"/>
        </w:rPr>
      </w:pPr>
      <w:r>
        <w:rPr>
          <w:rFonts w:hint="eastAsia"/>
          <w:color w:val="auto"/>
          <w:sz w:val="20"/>
          <w:highlight w:val="none"/>
        </w:rPr>
        <w:t xml:space="preserve"> </w:t>
      </w:r>
      <w:bookmarkEnd w:id="945"/>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highlight w:val="none"/>
        </w:rPr>
      </w:r>
      <w:r/>
    </w:p>
    <w:p>
      <w:pPr>
        <w:pStyle w:val="1002"/>
        <w:ind w:firstLine="321"/>
        <w:jc w:val="left"/>
        <w:spacing w:before="0" w:after="0" w:line="400" w:lineRule="exact"/>
        <w:rPr>
          <w:rFonts w:hint="eastAsia" w:ascii="宋体" w:hAnsi="宋体" w:eastAsia="宋体"/>
          <w:color w:val="auto"/>
          <w:sz w:val="32"/>
          <w:highlight w:val="none"/>
        </w:rPr>
      </w:pPr>
      <w:r>
        <w:rPr>
          <w:highlight w:val="none"/>
        </w:rPr>
      </w:r>
      <w:bookmarkStart w:id="946" w:name="_Toc73365518"/>
      <w:r>
        <w:rPr>
          <w:highlight w:val="none"/>
        </w:rPr>
      </w:r>
      <w:bookmarkStart w:id="947" w:name="_Toc256000062"/>
      <w:r>
        <w:rPr>
          <w:highlight w:val="none"/>
        </w:rPr>
      </w:r>
      <w:bookmarkStart w:id="948" w:name="_Toc73364905"/>
      <w:r>
        <w:rPr>
          <w:rFonts w:hint="eastAsia" w:ascii="宋体" w:hAnsi="宋体" w:eastAsia="宋体"/>
          <w:color w:val="auto"/>
          <w:sz w:val="32"/>
          <w:highlight w:val="none"/>
          <w:lang w:eastAsia="zh-CN"/>
        </w:rPr>
        <w:t xml:space="preserve">5．磋商记录</w:t>
      </w:r>
      <w:bookmarkEnd w:id="946"/>
      <w:r>
        <w:rPr>
          <w:highlight w:val="none"/>
        </w:rPr>
      </w:r>
      <w:bookmarkEnd w:id="947"/>
      <w:r>
        <w:rPr>
          <w:highlight w:val="none"/>
        </w:rPr>
      </w:r>
      <w:bookmarkEnd w:id="948"/>
      <w:r>
        <w:rPr>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rPr>
          <w:highlight w:val="none"/>
        </w:rPr>
      </w:r>
      <w:r/>
    </w:p>
    <w:p>
      <w:pPr>
        <w:pStyle w:val="1002"/>
        <w:ind w:firstLine="321"/>
        <w:jc w:val="left"/>
        <w:spacing w:line="400" w:lineRule="exact"/>
        <w:rPr>
          <w:rFonts w:hint="eastAsia" w:ascii="宋体" w:hAnsi="宋体" w:eastAsia="宋体"/>
          <w:color w:val="auto"/>
          <w:sz w:val="32"/>
          <w:highlight w:val="none"/>
        </w:rPr>
      </w:pPr>
      <w:r>
        <w:rPr>
          <w:highlight w:val="none"/>
        </w:rPr>
      </w:r>
      <w:bookmarkStart w:id="949" w:name="_Toc256000063"/>
      <w:r>
        <w:rPr>
          <w:highlight w:val="none"/>
        </w:rPr>
      </w:r>
      <w:bookmarkStart w:id="950" w:name="_Toc73364906"/>
      <w:r>
        <w:rPr>
          <w:highlight w:val="none"/>
        </w:rPr>
      </w:r>
      <w:bookmarkStart w:id="951" w:name="_Toc73365519"/>
      <w:r>
        <w:rPr>
          <w:rFonts w:hint="eastAsia" w:ascii="宋体" w:hAnsi="宋体" w:eastAsia="宋体"/>
          <w:color w:val="auto"/>
          <w:sz w:val="32"/>
          <w:highlight w:val="none"/>
          <w:lang w:eastAsia="zh-CN"/>
        </w:rPr>
        <w:t xml:space="preserve">6．综合评分</w:t>
      </w:r>
      <w:bookmarkEnd w:id="937"/>
      <w:r>
        <w:rPr>
          <w:highlight w:val="none"/>
        </w:rPr>
      </w:r>
      <w:bookmarkEnd w:id="938"/>
      <w:r>
        <w:rPr>
          <w:highlight w:val="none"/>
        </w:rPr>
      </w:r>
      <w:bookmarkEnd w:id="939"/>
      <w:r>
        <w:rPr>
          <w:highlight w:val="none"/>
        </w:rPr>
      </w:r>
      <w:bookmarkEnd w:id="949"/>
      <w:r>
        <w:rPr>
          <w:highlight w:val="none"/>
        </w:rPr>
      </w:r>
      <w:bookmarkEnd w:id="950"/>
      <w:r>
        <w:rPr>
          <w:highlight w:val="none"/>
        </w:rPr>
      </w:r>
      <w:bookmarkEnd w:id="951"/>
      <w:r>
        <w:rPr>
          <w:highlight w:val="none"/>
        </w:rPr>
      </w:r>
      <w:r/>
    </w:p>
    <w:p>
      <w:pPr>
        <w:ind w:firstLine="482"/>
        <w:spacing w:line="360" w:lineRule="auto"/>
        <w:widowControl/>
        <w:rPr>
          <w:rFonts w:ascii="宋体" w:hAnsi="宋体"/>
          <w:b/>
          <w:color w:val="auto"/>
          <w:sz w:val="24"/>
          <w:highlight w:val="none"/>
        </w:rPr>
      </w:pPr>
      <w:r>
        <w:rPr>
          <w:highlight w:val="none"/>
        </w:rPr>
      </w:r>
      <w:bookmarkStart w:id="952" w:name="_Toc73364908"/>
      <w:r>
        <w:rPr>
          <w:highlight w:val="none"/>
        </w:rPr>
      </w:r>
      <w:bookmarkStart w:id="953" w:name="_Toc256000066"/>
      <w:r>
        <w:rPr>
          <w:highlight w:val="none"/>
        </w:rPr>
      </w:r>
      <w:bookmarkStart w:id="954" w:name="_Toc73365521"/>
      <w:r>
        <w:rPr>
          <w:rFonts w:hint="eastAsia" w:ascii="宋体" w:hAnsi="宋体"/>
          <w:b/>
          <w:color w:val="auto"/>
          <w:sz w:val="24"/>
          <w:highlight w:val="none"/>
          <w:lang w:val="en-US" w:eastAsia="zh-CN" w:bidi="ar-SA"/>
        </w:rPr>
        <w:t xml:space="preserve">经磋商确定最终采购需求和提交最后报价的供应商后，磋商小组采用综合评分法对提交最后报价的供应商的磋商响应文件和最后报价进行综合评分，总分100分。</w:t>
      </w:r>
      <w:r>
        <w:rPr>
          <w:highlight w:val="none"/>
        </w:rPr>
      </w:r>
      <w:r/>
    </w:p>
    <w:p>
      <w:pPr>
        <w:rPr>
          <w:color w:val="auto"/>
          <w:highlight w:val="none"/>
        </w:rPr>
      </w:pPr>
      <w:r>
        <w:rPr>
          <w:highlight w:val="none"/>
        </w:rPr>
      </w:r>
      <w:bookmarkStart w:id="955" w:name="EBeb38bac6236d407ea758a92f796301c6"/>
      <w:r>
        <w:rPr>
          <w:highlight w:val="none"/>
        </w:rPr>
      </w:r>
      <w:bookmarkEnd w:id="955"/>
      <w:r>
        <w:rPr>
          <w:highlight w:val="none"/>
        </w:rPr>
      </w:r>
      <w:r/>
    </w:p>
    <w:p>
      <w:pPr>
        <w:rPr>
          <w:color w:val="auto"/>
          <w:highlight w:val="none"/>
        </w:rPr>
      </w:pPr>
      <w:r>
        <w:rPr>
          <w:color w:val="auto"/>
          <w:highlight w:val="none"/>
        </w:rPr>
      </w:r>
      <w:r>
        <w:rPr>
          <w:highlight w:val="none"/>
        </w:rPr>
      </w:r>
      <w:r/>
    </w:p>
    <w:tbl>
      <w:tblPr>
        <w:tblStyle w:val="781"/>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jc w:val="center"/>
          <w:trHeight w:val="323"/>
        </w:trPr>
        <w:tc>
          <w:tcPr>
            <w:tcMar>
              <w:top w:w="100" w:type="dxa"/>
              <w:bottom w:w="100" w:type="dxa"/>
            </w:tcMar>
            <w:tcW w:w="2395" w:type="dxa"/>
            <w:vAlign w:val="center"/>
            <w:textDirection w:val="lrTb"/>
            <w:noWrap w:val="false"/>
          </w:tcPr>
          <w:p>
            <w:pPr>
              <w:pStyle w:val="1064"/>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评分项目</w:t>
            </w:r>
            <w:r>
              <w:rPr>
                <w:highlight w:val="none"/>
              </w:rPr>
            </w:r>
            <w:r/>
          </w:p>
        </w:tc>
        <w:tc>
          <w:tcPr>
            <w:tcMar>
              <w:top w:w="100" w:type="dxa"/>
              <w:bottom w:w="100" w:type="dxa"/>
            </w:tcMar>
            <w:tcW w:w="2395" w:type="dxa"/>
            <w:vAlign w:val="center"/>
            <w:textDirection w:val="lrTb"/>
            <w:noWrap w:val="false"/>
          </w:tcPr>
          <w:p>
            <w:pPr>
              <w:pStyle w:val="1064"/>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技术评估</w:t>
            </w:r>
            <w:r>
              <w:rPr>
                <w:highlight w:val="none"/>
              </w:rPr>
            </w:r>
            <w:r/>
          </w:p>
        </w:tc>
        <w:tc>
          <w:tcPr>
            <w:tcMar>
              <w:top w:w="100" w:type="dxa"/>
              <w:bottom w:w="100" w:type="dxa"/>
            </w:tcMar>
            <w:tcW w:w="2396" w:type="dxa"/>
            <w:vAlign w:val="center"/>
            <w:textDirection w:val="lrTb"/>
            <w:noWrap w:val="false"/>
          </w:tcPr>
          <w:p>
            <w:pPr>
              <w:pStyle w:val="1064"/>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商务评估</w:t>
            </w:r>
            <w:r>
              <w:rPr>
                <w:highlight w:val="none"/>
              </w:rPr>
            </w:r>
            <w:r/>
          </w:p>
        </w:tc>
        <w:tc>
          <w:tcPr>
            <w:tcMar>
              <w:top w:w="100" w:type="dxa"/>
              <w:bottom w:w="100" w:type="dxa"/>
            </w:tcMar>
            <w:tcW w:w="2396" w:type="dxa"/>
            <w:vAlign w:val="center"/>
            <w:textDirection w:val="lrTb"/>
            <w:noWrap w:val="false"/>
          </w:tcPr>
          <w:p>
            <w:pPr>
              <w:pStyle w:val="1064"/>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价格评估</w:t>
            </w:r>
            <w:r>
              <w:rPr>
                <w:highlight w:val="none"/>
              </w:rPr>
            </w:r>
            <w:r/>
          </w:p>
        </w:tc>
      </w:tr>
      <w:tr>
        <w:trPr>
          <w:jc w:val="center"/>
          <w:trHeight w:val="90"/>
        </w:trPr>
        <w:tc>
          <w:tcPr>
            <w:tcMar>
              <w:top w:w="100" w:type="dxa"/>
              <w:bottom w:w="100" w:type="dxa"/>
            </w:tcMar>
            <w:tcW w:w="2395" w:type="dxa"/>
            <w:vAlign w:val="center"/>
            <w:textDirection w:val="lrTb"/>
            <w:noWrap w:val="false"/>
          </w:tcPr>
          <w:p>
            <w:pPr>
              <w:pStyle w:val="1064"/>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分值</w:t>
            </w:r>
            <w:r>
              <w:rPr>
                <w:highlight w:val="none"/>
              </w:rPr>
            </w:r>
            <w:r/>
          </w:p>
        </w:tc>
        <w:tc>
          <w:tcPr>
            <w:tcMar>
              <w:top w:w="100" w:type="dxa"/>
              <w:bottom w:w="100" w:type="dxa"/>
            </w:tcMar>
            <w:tcW w:w="2395" w:type="dxa"/>
            <w:vAlign w:val="center"/>
            <w:textDirection w:val="lrTb"/>
            <w:noWrap w:val="false"/>
          </w:tcPr>
          <w:p>
            <w:pPr>
              <w:pStyle w:val="1064"/>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bidi="ar-SA"/>
              </w:rPr>
              <w:t xml:space="preserve">30</w:t>
            </w:r>
            <w:r>
              <w:rPr>
                <w:rFonts w:ascii="宋体" w:hAnsi="宋体" w:eastAsia="宋体" w:cs="宋体"/>
                <w:color w:val="auto"/>
                <w:sz w:val="21"/>
                <w:highlight w:val="none"/>
                <w:lang w:val="en-US" w:eastAsia="zh-CN" w:bidi="ar-SA"/>
              </w:rPr>
              <w:t xml:space="preserve">.00</w:t>
            </w:r>
            <w:r>
              <w:rPr>
                <w:highlight w:val="none"/>
              </w:rPr>
            </w:r>
            <w:r/>
          </w:p>
        </w:tc>
        <w:tc>
          <w:tcPr>
            <w:tcMar>
              <w:top w:w="100" w:type="dxa"/>
              <w:bottom w:w="100" w:type="dxa"/>
            </w:tcMar>
            <w:tcW w:w="2396" w:type="dxa"/>
            <w:vAlign w:val="center"/>
            <w:textDirection w:val="lrTb"/>
            <w:noWrap w:val="false"/>
          </w:tcPr>
          <w:p>
            <w:pPr>
              <w:pStyle w:val="1064"/>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bidi="ar-SA"/>
              </w:rPr>
              <w:t xml:space="preserve">20</w:t>
            </w:r>
            <w:r>
              <w:rPr>
                <w:rFonts w:ascii="宋体" w:hAnsi="宋体" w:eastAsia="宋体" w:cs="宋体"/>
                <w:color w:val="auto"/>
                <w:sz w:val="21"/>
                <w:highlight w:val="none"/>
                <w:lang w:val="en-US" w:eastAsia="zh-CN" w:bidi="ar-SA"/>
              </w:rPr>
              <w:t xml:space="preserve">.00</w:t>
            </w:r>
            <w:r>
              <w:rPr>
                <w:highlight w:val="none"/>
              </w:rPr>
            </w:r>
            <w:r/>
          </w:p>
        </w:tc>
        <w:tc>
          <w:tcPr>
            <w:tcMar>
              <w:top w:w="100" w:type="dxa"/>
              <w:bottom w:w="100" w:type="dxa"/>
            </w:tcMar>
            <w:tcW w:w="2396" w:type="dxa"/>
            <w:vAlign w:val="center"/>
            <w:textDirection w:val="lrTb"/>
            <w:noWrap w:val="false"/>
          </w:tcPr>
          <w:p>
            <w:pPr>
              <w:pStyle w:val="1064"/>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bidi="ar-SA"/>
              </w:rPr>
              <w:t xml:space="preserve">50</w:t>
            </w:r>
            <w:r>
              <w:rPr>
                <w:rFonts w:ascii="宋体" w:hAnsi="宋体" w:eastAsia="宋体" w:cs="宋体"/>
                <w:color w:val="auto"/>
                <w:sz w:val="21"/>
                <w:highlight w:val="none"/>
                <w:lang w:val="en-US" w:eastAsia="zh-CN" w:bidi="ar-SA"/>
              </w:rPr>
              <w:t xml:space="preserve">.00</w:t>
            </w:r>
            <w:r>
              <w:rPr>
                <w:highlight w:val="none"/>
              </w:rPr>
            </w:r>
            <w:r/>
          </w:p>
        </w:tc>
      </w:tr>
    </w:tbl>
    <w:p>
      <w:pPr>
        <w:rPr>
          <w:color w:val="auto"/>
          <w:sz w:val="20"/>
          <w:highlight w:val="none"/>
        </w:rPr>
      </w:pPr>
      <w:r>
        <w:rPr>
          <w:rFonts w:hint="eastAsia" w:ascii="Times New Roman" w:eastAsia="宋体"/>
          <w:color w:val="auto"/>
          <w:sz w:val="20"/>
          <w:highlight w:val="none"/>
          <w:lang w:val="en-US" w:eastAsia="zh-CN" w:bidi="ar-SA"/>
        </w:rPr>
        <w:t xml:space="preserve"> </w:t>
      </w:r>
      <w:r>
        <w:rPr>
          <w:highlight w:val="none"/>
        </w:rPr>
      </w:r>
      <w:r/>
    </w:p>
    <w:p>
      <w:pPr>
        <w:numPr>
          <w:ilvl w:val="0"/>
          <w:numId w:val="9"/>
        </w:numPr>
        <w:ind w:left="765" w:hanging="765"/>
        <w:jc w:val="left"/>
        <w:spacing w:line="360" w:lineRule="auto"/>
        <w:widowControl/>
        <w:rPr>
          <w:rFonts w:ascii="宋体" w:hAnsi="宋体"/>
          <w:b/>
          <w:color w:val="auto"/>
          <w:sz w:val="24"/>
          <w:highlight w:val="none"/>
        </w:rPr>
      </w:pPr>
      <w:r>
        <w:rPr>
          <w:rFonts w:hint="eastAsia" w:ascii="宋体" w:hAnsi="宋体"/>
          <w:b/>
          <w:color w:val="auto"/>
          <w:sz w:val="24"/>
          <w:highlight w:val="none"/>
          <w:lang w:val="en-US" w:eastAsia="zh-CN" w:bidi="ar-SA"/>
        </w:rPr>
        <w:t xml:space="preserve">技术评估</w:t>
      </w:r>
      <w:r>
        <w:rPr>
          <w:highlight w:val="none"/>
        </w:rPr>
      </w:r>
      <w:r/>
    </w:p>
    <w:p>
      <w:pPr>
        <w:rPr>
          <w:color w:val="auto"/>
          <w:highlight w:val="none"/>
        </w:rPr>
      </w:pPr>
      <w:r>
        <w:rPr>
          <w:highlight w:val="none"/>
        </w:rPr>
      </w:r>
      <w:bookmarkStart w:id="956" w:name="EB6b2e05f244d844eab53af046ecb4a6fe"/>
      <w:r>
        <w:rPr>
          <w:highlight w:val="none"/>
        </w:rPr>
      </w:r>
      <w:bookmarkEnd w:id="956"/>
      <w:r>
        <w:rPr>
          <w:highlight w:val="none"/>
        </w:rPr>
      </w:r>
      <w:r/>
    </w:p>
    <w:tbl>
      <w:tblPr>
        <w:tblStyle w:val="781"/>
        <w:tblW w:w="95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2"/>
        <w:gridCol w:w="1119"/>
        <w:gridCol w:w="6862"/>
        <w:gridCol w:w="979"/>
      </w:tblGrid>
      <w:tr>
        <w:trPr>
          <w:jc w:val="center"/>
          <w:trHeight w:val="724"/>
        </w:trPr>
        <w:tc>
          <w:tcPr>
            <w:tcW w:w="59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序号</w:t>
            </w:r>
            <w:r>
              <w:rPr>
                <w:highlight w:val="none"/>
              </w:rPr>
            </w:r>
            <w:r/>
          </w:p>
        </w:tc>
        <w:tc>
          <w:tcPr>
            <w:tcW w:w="111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评审因素</w:t>
            </w:r>
            <w:r>
              <w:rPr>
                <w:highlight w:val="none"/>
              </w:rPr>
            </w:r>
            <w:r/>
          </w:p>
        </w:tc>
        <w:tc>
          <w:tcPr>
            <w:tcW w:w="686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评审细则</w:t>
            </w:r>
            <w:r>
              <w:rPr>
                <w:highlight w:val="none"/>
              </w:rPr>
            </w:r>
            <w:r/>
          </w:p>
        </w:tc>
        <w:tc>
          <w:tcPr>
            <w:tcW w:w="9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分值</w:t>
            </w:r>
            <w:r>
              <w:rPr>
                <w:highlight w:val="none"/>
              </w:rPr>
            </w:r>
            <w:r/>
          </w:p>
        </w:tc>
      </w:tr>
      <w:tr>
        <w:trPr>
          <w:jc w:val="center"/>
          <w:trHeight w:val="685"/>
        </w:trPr>
        <w:tc>
          <w:tcPr>
            <w:gridSpan w:val="3"/>
            <w:tcW w:w="85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 </w:t>
            </w:r>
            <w:r>
              <w:rPr>
                <w:rFonts w:ascii="宋体" w:hAnsi="宋体" w:cs="宋体"/>
                <w:color w:val="auto"/>
                <w:szCs w:val="21"/>
                <w:highlight w:val="none"/>
                <w:lang w:val="en-US" w:eastAsia="zh-CN" w:bidi="ar-SA"/>
              </w:rPr>
              <w:t xml:space="preserve"> </w:t>
            </w:r>
            <w:r>
              <w:rPr>
                <w:rFonts w:hint="eastAsia" w:ascii="宋体" w:hAnsi="宋体" w:cs="宋体"/>
                <w:color w:val="auto"/>
                <w:szCs w:val="21"/>
                <w:highlight w:val="none"/>
                <w:lang w:val="en-US" w:eastAsia="zh-CN" w:bidi="ar-SA"/>
              </w:rPr>
              <w:t xml:space="preserve">一、技术方案</w:t>
            </w:r>
            <w:r>
              <w:rPr>
                <w:highlight w:val="none"/>
              </w:rPr>
            </w:r>
            <w:r/>
          </w:p>
        </w:tc>
        <w:tc>
          <w:tcPr>
            <w:tcW w:w="9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30分</w:t>
            </w:r>
            <w:r>
              <w:rPr>
                <w:highlight w:val="none"/>
              </w:rPr>
            </w:r>
            <w:r/>
          </w:p>
        </w:tc>
      </w:tr>
      <w:tr>
        <w:trPr>
          <w:jc w:val="center"/>
          <w:trHeight w:val="1099"/>
        </w:trPr>
        <w:tc>
          <w:tcPr>
            <w:tcW w:w="59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1.1</w:t>
            </w:r>
            <w:r>
              <w:rPr>
                <w:highlight w:val="none"/>
              </w:rPr>
            </w:r>
            <w:r/>
          </w:p>
        </w:tc>
        <w:tc>
          <w:tcPr>
            <w:tcW w:w="111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总体概述</w:t>
            </w:r>
            <w:r>
              <w:rPr>
                <w:highlight w:val="none"/>
              </w:rPr>
            </w:r>
            <w:r/>
          </w:p>
        </w:tc>
        <w:tc>
          <w:tcPr>
            <w:tcW w:w="686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1、总体设想透彻，方案内容表述针对性强的得5分；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2、总体设想一般，方案内容表述针对性较强的得3分；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3、总体设想模糊，方案内容表述针对性不强得1分；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4、未提供方案的不得分。</w:t>
            </w:r>
            <w:r>
              <w:rPr>
                <w:highlight w:val="none"/>
              </w:rPr>
            </w:r>
            <w:r/>
          </w:p>
        </w:tc>
        <w:tc>
          <w:tcPr>
            <w:tcW w:w="9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5分</w:t>
            </w:r>
            <w:r>
              <w:rPr>
                <w:highlight w:val="none"/>
              </w:rPr>
            </w:r>
            <w:r/>
          </w:p>
        </w:tc>
      </w:tr>
      <w:tr>
        <w:trPr>
          <w:jc w:val="center"/>
          <w:trHeight w:val="90"/>
        </w:trPr>
        <w:tc>
          <w:tcPr>
            <w:tcW w:w="59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1.2</w:t>
            </w:r>
            <w:r>
              <w:rPr>
                <w:highlight w:val="none"/>
              </w:rPr>
            </w:r>
            <w:r/>
          </w:p>
        </w:tc>
        <w:tc>
          <w:tcPr>
            <w:tcW w:w="111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施工现场平面布置和临时设施、临时道路布置</w:t>
            </w:r>
            <w:r>
              <w:rPr>
                <w:highlight w:val="none"/>
              </w:rPr>
            </w:r>
            <w:r/>
          </w:p>
        </w:tc>
        <w:tc>
          <w:tcPr>
            <w:tcW w:w="686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1、施工现场布置符合现场条件且布置合理，可行性强的得5分；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2、施工现场布置基本符合现场条件且布置较为合理，可行性较强的得3分；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3、施工现场布置与现场条件符合性一般，基本合理可行的得1分；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4、未提供方案的不得分。</w:t>
            </w:r>
            <w:r>
              <w:rPr>
                <w:highlight w:val="none"/>
              </w:rPr>
            </w:r>
            <w:r/>
          </w:p>
        </w:tc>
        <w:tc>
          <w:tcPr>
            <w:tcW w:w="9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5分</w:t>
            </w:r>
            <w:r>
              <w:rPr>
                <w:highlight w:val="none"/>
              </w:rPr>
            </w:r>
            <w:r/>
          </w:p>
        </w:tc>
      </w:tr>
      <w:tr>
        <w:trPr>
          <w:jc w:val="center"/>
          <w:trHeight w:val="885"/>
        </w:trPr>
        <w:tc>
          <w:tcPr>
            <w:tcW w:w="59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1.3</w:t>
            </w:r>
            <w:r>
              <w:rPr>
                <w:highlight w:val="none"/>
              </w:rPr>
            </w:r>
            <w:r/>
          </w:p>
        </w:tc>
        <w:tc>
          <w:tcPr>
            <w:tcW w:w="111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施工进度计划和各阶段进度的保证措施</w:t>
            </w:r>
            <w:r>
              <w:rPr>
                <w:highlight w:val="none"/>
              </w:rPr>
            </w:r>
            <w:r/>
          </w:p>
        </w:tc>
        <w:tc>
          <w:tcPr>
            <w:tcW w:w="686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1、施工进度计划及各阶段工期保证措施合理可行的得5分；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2、施工进度计划及各阶段工期保证措施较为合理可行的得3分；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3、施工进度计划及各阶段工期保证措施基本合理可行的得1分；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4、未提供方案的不得分。</w:t>
            </w:r>
            <w:r>
              <w:rPr>
                <w:highlight w:val="none"/>
              </w:rPr>
            </w:r>
            <w:r/>
          </w:p>
        </w:tc>
        <w:tc>
          <w:tcPr>
            <w:tcW w:w="9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5分</w:t>
            </w:r>
            <w:r>
              <w:rPr>
                <w:highlight w:val="none"/>
              </w:rPr>
            </w:r>
            <w:r/>
          </w:p>
        </w:tc>
      </w:tr>
      <w:tr>
        <w:trPr>
          <w:jc w:val="center"/>
          <w:trHeight w:val="1126"/>
        </w:trPr>
        <w:tc>
          <w:tcPr>
            <w:tcW w:w="59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1.4</w:t>
            </w:r>
            <w:r>
              <w:rPr>
                <w:highlight w:val="none"/>
              </w:rPr>
            </w:r>
            <w:r/>
          </w:p>
        </w:tc>
        <w:tc>
          <w:tcPr>
            <w:tcW w:w="111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各分部分项工程的施工方案及质量保证措施</w:t>
            </w:r>
            <w:r>
              <w:rPr>
                <w:highlight w:val="none"/>
              </w:rPr>
            </w:r>
            <w:r/>
          </w:p>
        </w:tc>
        <w:tc>
          <w:tcPr>
            <w:tcW w:w="6862"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bidi="ar-SA"/>
              </w:rPr>
              <w:t xml:space="preserve">1、各分部分项工程施工方案齐全，可行性强及质量保证措施合理可行的得5分；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2、各分部分项工程施工方案较为齐全，可行性较强及质量保证措施较为合理可行的得3分；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3、各分部分项工程施工方案有明显缺漏且可行性一般，质量保证措施一般的得1分；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4、未提供方案的不得分。</w:t>
            </w:r>
            <w:r>
              <w:rPr>
                <w:highlight w:val="none"/>
              </w:rPr>
            </w:r>
            <w:r/>
          </w:p>
        </w:tc>
        <w:tc>
          <w:tcPr>
            <w:tcW w:w="9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5分</w:t>
            </w:r>
            <w:r>
              <w:rPr>
                <w:highlight w:val="none"/>
              </w:rPr>
            </w:r>
            <w:r/>
          </w:p>
        </w:tc>
      </w:tr>
      <w:tr>
        <w:trPr>
          <w:jc w:val="center"/>
          <w:trHeight w:val="1126"/>
        </w:trPr>
        <w:tc>
          <w:tcPr>
            <w:tcW w:w="59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1.5</w:t>
            </w:r>
            <w:r>
              <w:rPr>
                <w:highlight w:val="none"/>
              </w:rPr>
            </w:r>
            <w:r/>
          </w:p>
        </w:tc>
        <w:tc>
          <w:tcPr>
            <w:tcW w:w="111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安全文明施工及环境保护措施</w:t>
            </w:r>
            <w:r>
              <w:rPr>
                <w:highlight w:val="none"/>
              </w:rPr>
            </w:r>
            <w:r/>
          </w:p>
        </w:tc>
        <w:tc>
          <w:tcPr>
            <w:tcW w:w="6862"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1、安全文明施工及环境保护措施可行性强、措施有保障的得5分；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2、可行性较强、措施较有保障的得3分；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3、可行性一般、措施保障性一般的得1分；</w:t>
            </w:r>
            <w:r>
              <w:rPr>
                <w:highlight w:val="none"/>
              </w:rPr>
            </w:r>
            <w:r/>
          </w:p>
          <w:p>
            <w:pPr>
              <w:jc w:val="left"/>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4、未提供方案的不得分。</w:t>
            </w:r>
            <w:r>
              <w:rPr>
                <w:highlight w:val="none"/>
              </w:rPr>
            </w:r>
            <w:r/>
          </w:p>
        </w:tc>
        <w:tc>
          <w:tcPr>
            <w:tcW w:w="9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5分</w:t>
            </w:r>
            <w:r>
              <w:rPr>
                <w:highlight w:val="none"/>
              </w:rPr>
            </w:r>
            <w:r/>
          </w:p>
        </w:tc>
      </w:tr>
      <w:tr>
        <w:trPr>
          <w:jc w:val="center"/>
          <w:trHeight w:val="538"/>
        </w:trPr>
        <w:tc>
          <w:tcPr>
            <w:tcW w:w="592" w:type="dxa"/>
            <w:vAlign w:val="center"/>
            <w:textDirection w:val="lrTb"/>
            <w:noWrap w:val="false"/>
          </w:tcPr>
          <w:p>
            <w:pPr>
              <w:ind w:left="129"/>
              <w:jc w:val="center"/>
              <w:spacing w:line="300" w:lineRule="exact"/>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1.6</w:t>
            </w:r>
            <w:r>
              <w:rPr>
                <w:highlight w:val="none"/>
              </w:rPr>
            </w:r>
            <w:r/>
          </w:p>
        </w:tc>
        <w:tc>
          <w:tcPr>
            <w:tcW w:w="1119" w:type="dxa"/>
            <w:vAlign w:val="center"/>
            <w:textDirection w:val="lrTb"/>
            <w:noWrap w:val="false"/>
          </w:tcPr>
          <w:p>
            <w:pPr>
              <w:pStyle w:val="1062"/>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bidi="ar-SA"/>
              </w:rPr>
              <w:t xml:space="preserve">关键施工技术、工艺及工程项目实施的重点、难点和解决方案</w:t>
            </w:r>
            <w:r>
              <w:rPr>
                <w:highlight w:val="none"/>
              </w:rPr>
            </w:r>
            <w:r/>
          </w:p>
        </w:tc>
        <w:tc>
          <w:tcPr>
            <w:tcW w:w="6862" w:type="dxa"/>
            <w:vAlign w:val="center"/>
            <w:textDirection w:val="lrTb"/>
            <w:noWrap w:val="false"/>
          </w:tcPr>
          <w:p>
            <w:pPr>
              <w:pStyle w:val="1062"/>
              <w:jc w:val="left"/>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bidi="ar-SA"/>
              </w:rPr>
              <w:t xml:space="preserve">1、关键施工技术、工艺先进可行，项目实施的重难点分析透彻且解决方案合理可行的得5分；</w:t>
            </w:r>
            <w:r>
              <w:rPr>
                <w:highlight w:val="none"/>
              </w:rPr>
            </w:r>
            <w:r/>
          </w:p>
          <w:p>
            <w:pPr>
              <w:pStyle w:val="1062"/>
              <w:jc w:val="left"/>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bidi="ar-SA"/>
              </w:rPr>
              <w:t xml:space="preserve">2、关键施工技术、工艺可行性强，项目实施的重难点分析较为透彻且解决方案较为合理可行的得3分；</w:t>
            </w:r>
            <w:r>
              <w:rPr>
                <w:highlight w:val="none"/>
              </w:rPr>
            </w:r>
            <w:r/>
          </w:p>
          <w:p>
            <w:pPr>
              <w:pStyle w:val="1062"/>
              <w:jc w:val="left"/>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bidi="ar-SA"/>
              </w:rPr>
              <w:t xml:space="preserve">3、关键施工技术、工艺可行性一般，项目实施的重难点分析模糊且解决方案可行性较差的得1分；</w:t>
            </w:r>
            <w:r>
              <w:rPr>
                <w:highlight w:val="none"/>
              </w:rPr>
            </w:r>
            <w:r/>
          </w:p>
          <w:p>
            <w:pPr>
              <w:pStyle w:val="1062"/>
              <w:jc w:val="left"/>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bidi="ar-SA"/>
              </w:rPr>
              <w:t xml:space="preserve">4、未提供方案的不得分。</w:t>
            </w:r>
            <w:r>
              <w:rPr>
                <w:highlight w:val="none"/>
              </w:rPr>
            </w:r>
            <w:r/>
          </w:p>
        </w:tc>
        <w:tc>
          <w:tcPr>
            <w:tcW w:w="979" w:type="dxa"/>
            <w:vAlign w:val="top"/>
            <w:textDirection w:val="lrTb"/>
            <w:noWrap w:val="false"/>
          </w:tcPr>
          <w:p>
            <w:pPr>
              <w:jc w:val="center"/>
              <w:spacing w:line="300" w:lineRule="exact"/>
              <w:rPr>
                <w:rFonts w:ascii="宋体" w:hAnsi="宋体"/>
                <w:color w:val="auto"/>
                <w:szCs w:val="21"/>
                <w:highlight w:val="none"/>
              </w:rPr>
            </w:pPr>
            <w:r>
              <w:rPr>
                <w:rFonts w:ascii="宋体" w:hAnsi="宋体"/>
                <w:color w:val="auto"/>
                <w:szCs w:val="21"/>
                <w:highlight w:val="none"/>
              </w:rPr>
            </w:r>
            <w:r>
              <w:rPr>
                <w:highlight w:val="none"/>
              </w:rPr>
            </w:r>
            <w:r/>
          </w:p>
          <w:p>
            <w:pPr>
              <w:jc w:val="center"/>
              <w:spacing w:line="300" w:lineRule="exact"/>
              <w:rPr>
                <w:rFonts w:ascii="宋体" w:hAnsi="宋体"/>
                <w:color w:val="auto"/>
                <w:szCs w:val="21"/>
                <w:highlight w:val="none"/>
              </w:rPr>
            </w:pPr>
            <w:r>
              <w:rPr>
                <w:rFonts w:ascii="宋体" w:hAnsi="宋体"/>
                <w:color w:val="auto"/>
                <w:szCs w:val="21"/>
                <w:highlight w:val="none"/>
              </w:rPr>
            </w:r>
            <w:r>
              <w:rPr>
                <w:highlight w:val="none"/>
              </w:rPr>
            </w:r>
            <w:r/>
          </w:p>
          <w:p>
            <w:pPr>
              <w:jc w:val="center"/>
              <w:spacing w:line="300" w:lineRule="exact"/>
              <w:rPr>
                <w:rFonts w:ascii="宋体" w:hAnsi="宋体"/>
                <w:color w:val="auto"/>
                <w:szCs w:val="21"/>
                <w:highlight w:val="none"/>
              </w:rPr>
            </w:pPr>
            <w:r>
              <w:rPr>
                <w:rFonts w:hint="eastAsia" w:ascii="宋体" w:hAnsi="宋体" w:cs="宋体"/>
                <w:color w:val="auto"/>
                <w:szCs w:val="21"/>
                <w:highlight w:val="none"/>
                <w:lang w:val="en-US" w:eastAsia="zh-CN" w:bidi="ar-SA"/>
              </w:rPr>
              <w:t xml:space="preserve">5分</w:t>
            </w:r>
            <w:r>
              <w:rPr>
                <w:highlight w:val="none"/>
              </w:rPr>
            </w:r>
            <w:r/>
          </w:p>
        </w:tc>
      </w:tr>
    </w:tbl>
    <w:p>
      <w:pPr>
        <w:rPr>
          <w:color w:val="auto"/>
          <w:sz w:val="20"/>
          <w:highlight w:val="none"/>
        </w:rPr>
      </w:pPr>
      <w:r>
        <w:rPr>
          <w:color w:val="auto"/>
          <w:sz w:val="20"/>
          <w:highlight w:val="none"/>
        </w:rPr>
      </w:r>
      <w:r>
        <w:rPr>
          <w:highlight w:val="none"/>
        </w:rPr>
      </w:r>
      <w:r/>
    </w:p>
    <w:p>
      <w:pPr>
        <w:numPr>
          <w:ilvl w:val="0"/>
          <w:numId w:val="9"/>
        </w:numPr>
        <w:ind w:left="765" w:hanging="765"/>
        <w:jc w:val="left"/>
        <w:spacing w:line="360" w:lineRule="auto"/>
        <w:widowControl/>
        <w:rPr>
          <w:rFonts w:ascii="宋体" w:hAnsi="宋体"/>
          <w:b/>
          <w:color w:val="auto"/>
          <w:sz w:val="24"/>
          <w:highlight w:val="none"/>
        </w:rPr>
      </w:pPr>
      <w:r>
        <w:rPr>
          <w:rFonts w:hint="eastAsia" w:ascii="宋体" w:hAnsi="宋体"/>
          <w:b/>
          <w:color w:val="auto"/>
          <w:sz w:val="24"/>
          <w:highlight w:val="none"/>
          <w:lang w:val="en-US" w:eastAsia="zh-CN" w:bidi="ar-SA"/>
        </w:rPr>
        <w:t xml:space="preserve">商务评估</w:t>
      </w:r>
      <w:r>
        <w:rPr>
          <w:highlight w:val="none"/>
        </w:rPr>
      </w:r>
      <w:r/>
    </w:p>
    <w:tbl>
      <w:tblPr>
        <w:tblStyle w:val="781"/>
        <w:tblpPr w:horzAnchor="page" w:tblpX="1067" w:vertAnchor="text" w:tblpY="137" w:leftFromText="180" w:topFromText="0" w:rightFromText="180" w:bottomFromText="0"/>
        <w:tblW w:w="97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2"/>
        <w:gridCol w:w="916"/>
        <w:gridCol w:w="7417"/>
        <w:gridCol w:w="813"/>
      </w:tblGrid>
      <w:tr>
        <w:trPr>
          <w:trHeight w:val="598"/>
        </w:trPr>
        <w:tc>
          <w:tcPr>
            <w:tcW w:w="572" w:type="dxa"/>
            <w:vAlign w:val="center"/>
            <w:textDirection w:val="lrTb"/>
            <w:noWrap w:val="false"/>
          </w:tcPr>
          <w:p>
            <w:pPr>
              <w:jc w:val="center"/>
              <w:rPr>
                <w:rFonts w:ascii="宋体" w:hAnsi="宋体" w:cs="宋体"/>
                <w:color w:val="auto"/>
                <w:szCs w:val="21"/>
                <w:highlight w:val="none"/>
              </w:rPr>
            </w:pPr>
            <w:r>
              <w:rPr>
                <w:highlight w:val="none"/>
              </w:rPr>
            </w:r>
            <w:bookmarkStart w:id="957" w:name="EBcc36ae01fb994a918da451ccb0f74e57"/>
            <w:r>
              <w:rPr>
                <w:rFonts w:hint="eastAsia" w:ascii="宋体" w:hAnsi="宋体" w:cs="宋体"/>
                <w:color w:val="auto"/>
                <w:szCs w:val="21"/>
                <w:highlight w:val="none"/>
                <w:lang w:val="en-US" w:eastAsia="zh-CN" w:bidi="ar-SA"/>
              </w:rPr>
              <w:t xml:space="preserve">序号</w:t>
            </w:r>
            <w:r>
              <w:rPr>
                <w:highlight w:val="none"/>
              </w:rPr>
            </w:r>
            <w:r/>
          </w:p>
        </w:tc>
        <w:tc>
          <w:tcPr>
            <w:tcW w:w="91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评审因素</w:t>
            </w:r>
            <w:r>
              <w:rPr>
                <w:highlight w:val="none"/>
              </w:rPr>
            </w:r>
            <w:r/>
          </w:p>
        </w:tc>
        <w:tc>
          <w:tcPr>
            <w:tcW w:w="741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评审细则</w:t>
            </w:r>
            <w:r>
              <w:rPr>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rPr>
                <w:highlight w:val="none"/>
              </w:rPr>
            </w:r>
            <w:r/>
          </w:p>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分值</w:t>
            </w:r>
            <w:r>
              <w:rPr>
                <w:highlight w:val="none"/>
              </w:rPr>
            </w:r>
            <w:r/>
          </w:p>
        </w:tc>
      </w:tr>
      <w:tr>
        <w:trPr>
          <w:trHeight w:val="446"/>
        </w:trPr>
        <w:tc>
          <w:tcPr>
            <w:gridSpan w:val="3"/>
            <w:tcW w:w="89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一、综合实力</w:t>
            </w:r>
            <w:r>
              <w:rPr>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6分</w:t>
            </w:r>
            <w:r>
              <w:rPr>
                <w:highlight w:val="none"/>
              </w:rPr>
            </w:r>
            <w:r/>
          </w:p>
        </w:tc>
      </w:tr>
      <w:tr>
        <w:trPr>
          <w:trHeight w:val="1335"/>
        </w:trPr>
        <w:tc>
          <w:tcPr>
            <w:tcW w:w="572" w:type="dxa"/>
            <w:vAlign w:val="center"/>
            <w:textDirection w:val="lrTb"/>
            <w:noWrap w:val="false"/>
          </w:tcPr>
          <w:p>
            <w:pPr>
              <w:jc w:val="center"/>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bidi="ar-SA"/>
              </w:rPr>
              <w:t xml:space="preserve">1.1</w:t>
            </w:r>
            <w:r>
              <w:rPr>
                <w:highlight w:val="none"/>
              </w:rPr>
            </w:r>
            <w:r/>
          </w:p>
        </w:tc>
        <w:tc>
          <w:tcPr>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bidi="ar-SA"/>
              </w:rPr>
              <w:t xml:space="preserve">企业实力 </w:t>
            </w:r>
            <w:r>
              <w:rPr>
                <w:highlight w:val="none"/>
              </w:rPr>
            </w:r>
            <w:r/>
          </w:p>
        </w:tc>
        <w:tc>
          <w:tcPr>
            <w:tcW w:w="7417" w:type="dxa"/>
            <w:vAlign w:val="center"/>
            <w:textDirection w:val="lrTb"/>
            <w:noWrap w:val="false"/>
          </w:tcPr>
          <w:p>
            <w:pPr>
              <w:pStyle w:val="806"/>
              <w:numPr>
                <w:ilvl w:val="0"/>
                <w:numId w:val="0"/>
              </w:numPr>
              <w:rPr>
                <w:rFonts w:hint="eastAsia" w:ascii="宋体" w:hAnsi="宋体" w:cs="宋体"/>
                <w:color w:val="auto"/>
                <w:szCs w:val="21"/>
                <w:highlight w:val="none"/>
              </w:rPr>
            </w:pPr>
            <w:r>
              <w:rPr>
                <w:rFonts w:hint="eastAsia" w:ascii="宋体" w:hAnsi="宋体" w:cs="宋体"/>
                <w:color w:val="auto"/>
                <w:szCs w:val="21"/>
                <w:highlight w:val="none"/>
                <w:lang w:val="en-US" w:eastAsia="zh-CN" w:bidi="ar-SA"/>
              </w:rPr>
              <w:t xml:space="preserve">投标人具有质量管理体系认证证书、环境管理体系认证证书、职业健康安全管理体系认证证书每提供一项得2分，本项最高得6分。(需提供有效期内的证书扫描件及全国认证认可信息公共服务平台截图，未提供或提供不全不得分。)</w:t>
            </w:r>
            <w:r>
              <w:rPr>
                <w:highlight w:val="none"/>
              </w:rPr>
            </w:r>
            <w:r/>
          </w:p>
          <w:p>
            <w:pPr>
              <w:pStyle w:val="806"/>
              <w:ind w:left="0" w:firstLine="0"/>
              <w:rPr>
                <w:rFonts w:hint="default"/>
                <w:color w:val="auto"/>
                <w:highlight w:val="none"/>
              </w:rPr>
            </w:pPr>
            <w:r>
              <w:rPr>
                <w:rFonts w:hint="default"/>
                <w:color w:val="auto"/>
                <w:highlight w:val="none"/>
              </w:rPr>
            </w:r>
            <w:r>
              <w:rPr>
                <w:highlight w:val="none"/>
              </w:rPr>
            </w:r>
            <w:r/>
          </w:p>
        </w:tc>
        <w:tc>
          <w:tcPr>
            <w:tcW w:w="813" w:type="dxa"/>
            <w:vAlign w:val="center"/>
            <w:textDirection w:val="lrTb"/>
            <w:noWrap w:val="false"/>
          </w:tcPr>
          <w:p>
            <w:pPr>
              <w:jc w:val="center"/>
              <w:rPr>
                <w:rFonts w:hint="default" w:ascii="宋体" w:hAnsi="宋体" w:cs="宋体"/>
                <w:color w:val="auto"/>
                <w:szCs w:val="21"/>
                <w:highlight w:val="none"/>
              </w:rPr>
            </w:pPr>
            <w:r>
              <w:rPr>
                <w:rFonts w:hint="eastAsia" w:ascii="宋体" w:hAnsi="宋体" w:cs="宋体"/>
                <w:color w:val="auto"/>
                <w:szCs w:val="21"/>
                <w:highlight w:val="none"/>
                <w:lang w:val="en-US" w:eastAsia="zh-CN" w:bidi="ar-SA"/>
              </w:rPr>
              <w:t xml:space="preserve">6分</w:t>
            </w:r>
            <w:r>
              <w:rPr>
                <w:highlight w:val="none"/>
              </w:rPr>
            </w:r>
            <w:r/>
          </w:p>
        </w:tc>
      </w:tr>
      <w:tr>
        <w:trPr>
          <w:trHeight w:val="512"/>
        </w:trPr>
        <w:tc>
          <w:tcPr>
            <w:gridSpan w:val="3"/>
            <w:tcW w:w="89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二、经验</w:t>
            </w:r>
            <w:r>
              <w:rPr>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3分</w:t>
            </w:r>
            <w:r>
              <w:rPr>
                <w:highlight w:val="none"/>
              </w:rPr>
            </w:r>
            <w:r/>
          </w:p>
        </w:tc>
      </w:tr>
      <w:tr>
        <w:trPr>
          <w:trHeight w:val="1257"/>
        </w:trPr>
        <w:tc>
          <w:tcPr>
            <w:tcW w:w="57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2.1</w:t>
            </w:r>
            <w:r>
              <w:rPr>
                <w:highlight w:val="none"/>
              </w:rPr>
            </w:r>
            <w:r/>
          </w:p>
        </w:tc>
        <w:tc>
          <w:tcPr>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bidi="ar-SA"/>
              </w:rPr>
              <w:t xml:space="preserve">业绩</w:t>
            </w:r>
            <w:r>
              <w:rPr>
                <w:highlight w:val="none"/>
              </w:rPr>
            </w:r>
            <w:r/>
          </w:p>
        </w:tc>
        <w:tc>
          <w:tcPr>
            <w:tcW w:w="7417" w:type="dxa"/>
            <w:vAlign w:val="center"/>
            <w:textDirection w:val="lrTb"/>
            <w:noWrap w:val="false"/>
          </w:tcPr>
          <w:p>
            <w:pPr>
              <w:jc w:val="both"/>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供应商自2022年1月1日（含）以来，承担过的类似业绩的，每有一个得3分，最高得3分。</w:t>
            </w:r>
            <w:r>
              <w:rPr>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SA"/>
              </w:rPr>
              <w:t xml:space="preserve">注：提供类似业绩证明</w:t>
            </w:r>
            <w:r>
              <w:rPr>
                <w:rFonts w:hint="eastAsia" w:ascii="宋体" w:hAnsi="宋体" w:cs="宋体"/>
                <w:color w:val="auto"/>
                <w:szCs w:val="21"/>
                <w:highlight w:val="none"/>
                <w:lang w:val="en-US" w:eastAsia="zh-CN" w:bidi="ar-SA"/>
              </w:rPr>
              <w:t xml:space="preserve">原件</w:t>
            </w:r>
            <w:r>
              <w:rPr>
                <w:rFonts w:hint="eastAsia" w:ascii="宋体" w:hAnsi="宋体" w:eastAsia="宋体" w:cs="宋体"/>
                <w:color w:val="auto"/>
                <w:szCs w:val="21"/>
                <w:highlight w:val="none"/>
                <w:lang w:val="en-US" w:eastAsia="zh-CN" w:bidi="ar-SA"/>
              </w:rPr>
              <w:t xml:space="preserve">扫描件(中标通知书、合同、竣工验收证明，三者缺一不可，如中标通知书、合同、竣工验收上面没有体现出类似业绩的还需提供中标清单)</w:t>
            </w:r>
            <w:r>
              <w:rPr>
                <w:rFonts w:hint="eastAsia" w:ascii="宋体" w:hAnsi="宋体" w:cs="宋体"/>
                <w:color w:val="auto"/>
                <w:szCs w:val="21"/>
                <w:highlight w:val="none"/>
                <w:lang w:val="en-US" w:eastAsia="zh-CN" w:bidi="ar-SA"/>
              </w:rPr>
              <w:t xml:space="preserve">，时间以竣工验收证明时间为准。</w:t>
            </w:r>
            <w:r>
              <w:rPr>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3分</w:t>
            </w:r>
            <w:r>
              <w:rPr>
                <w:highlight w:val="none"/>
              </w:rPr>
            </w:r>
            <w:r/>
          </w:p>
        </w:tc>
      </w:tr>
      <w:tr>
        <w:trPr>
          <w:trHeight w:val="470"/>
        </w:trPr>
        <w:tc>
          <w:tcPr>
            <w:gridSpan w:val="3"/>
            <w:tcW w:w="89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三、人员配备</w:t>
            </w:r>
            <w:r>
              <w:rPr>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en-US" w:eastAsia="zh-CN" w:bidi="ar-SA"/>
              </w:rPr>
              <w:t xml:space="preserve">11分</w:t>
            </w:r>
            <w:r>
              <w:rPr>
                <w:highlight w:val="none"/>
              </w:rPr>
            </w:r>
            <w:r/>
          </w:p>
        </w:tc>
      </w:tr>
      <w:tr>
        <w:trPr>
          <w:trHeight w:val="3131"/>
        </w:trPr>
        <w:tc>
          <w:tcPr>
            <w:tcW w:w="57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cs="宋体"/>
                <w:color w:val="auto"/>
                <w:szCs w:val="21"/>
                <w:highlight w:val="none"/>
                <w:lang w:val="en-US" w:eastAsia="zh-CN" w:bidi="ar-SA"/>
              </w:rPr>
              <w:t xml:space="preserve">3.1</w:t>
            </w:r>
            <w:r>
              <w:rPr>
                <w:highlight w:val="none"/>
              </w:rPr>
            </w:r>
            <w:r/>
          </w:p>
        </w:tc>
        <w:tc>
          <w:tcPr>
            <w:tcW w:w="91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bidi="ar-SA"/>
              </w:rPr>
              <w:t xml:space="preserve">项目组成人员评价</w:t>
            </w:r>
            <w:r>
              <w:rPr>
                <w:highlight w:val="none"/>
              </w:rPr>
            </w:r>
            <w:r/>
          </w:p>
        </w:tc>
        <w:tc>
          <w:tcPr>
            <w:tcW w:w="7417" w:type="dxa"/>
            <w:vAlign w:val="center"/>
            <w:textDirection w:val="lrTb"/>
            <w:noWrap w:val="false"/>
          </w:tcPr>
          <w:p>
            <w:pPr>
              <w:numPr>
                <w:ilvl w:val="0"/>
                <w:numId w:val="10"/>
              </w:numPr>
              <w:jc w:val="left"/>
              <w:rPr>
                <w:rFonts w:hint="default" w:ascii="宋体" w:hAnsi="宋体" w:cs="宋体"/>
                <w:color w:val="auto"/>
                <w:szCs w:val="21"/>
                <w:highlight w:val="none"/>
              </w:rPr>
            </w:pPr>
            <w:r>
              <w:rPr>
                <w:rFonts w:hint="eastAsia" w:ascii="宋体" w:hAnsi="宋体" w:cs="宋体"/>
                <w:color w:val="auto"/>
                <w:szCs w:val="21"/>
                <w:highlight w:val="none"/>
                <w:lang w:val="en-US" w:eastAsia="zh-CN" w:bidi="ar-SA"/>
              </w:rPr>
              <w:t xml:space="preserve">项目技术负责人:具有环境类高级工程师及以上职称且具有一级建造师执业证书的得3分,具有环境类中级工程师职称且具有二级建造师及以上执业证书的得1分。</w:t>
            </w:r>
            <w:r>
              <w:rPr>
                <w:highlight w:val="none"/>
              </w:rPr>
            </w:r>
            <w:r/>
          </w:p>
          <w:p>
            <w:pPr>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2、项目安全员:具有建筑施工企业综合类专职安全生产管理人员安全生产考核合格证书且具有环境工程中级工程师及以上职称的得2分。</w:t>
            </w:r>
            <w:r>
              <w:rPr>
                <w:highlight w:val="none"/>
              </w:rPr>
            </w:r>
            <w:r/>
          </w:p>
          <w:p>
            <w:pPr>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3、项目组其他人员:项目组人员中(项目经理、技术负责人、安全员除外)每具有一名环境类高级级工程师的得2分、每具有一名环境类中级工程师及以上职称的得1分，本项最多得6分。</w:t>
            </w:r>
            <w:r>
              <w:rPr>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SA"/>
              </w:rPr>
              <w:t xml:space="preserve">注：1.</w:t>
            </w:r>
            <w:r>
              <w:rPr>
                <w:rFonts w:hint="eastAsia" w:ascii="宋体" w:hAnsi="宋体" w:cs="宋体"/>
                <w:color w:val="auto"/>
                <w:szCs w:val="21"/>
                <w:highlight w:val="none"/>
                <w:lang w:val="en-US" w:eastAsia="zh-CN" w:bidi="ar-SA"/>
              </w:rPr>
              <w:t xml:space="preserve">项目团队人员不可兼任，</w:t>
            </w:r>
            <w:r>
              <w:rPr>
                <w:rFonts w:hint="eastAsia" w:ascii="宋体" w:hAnsi="宋体" w:eastAsia="宋体" w:cs="宋体"/>
                <w:color w:val="auto"/>
                <w:szCs w:val="21"/>
                <w:highlight w:val="none"/>
                <w:lang w:val="en-US" w:eastAsia="zh-CN" w:bidi="ar-SA"/>
              </w:rPr>
              <w:t xml:space="preserve">同一类证书不重复得分，以上证书须提供扫描件，未提供不得分。</w:t>
            </w:r>
            <w:r>
              <w:rPr>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SA"/>
              </w:rPr>
              <w:t xml:space="preserve">2.须提供由社保机构出具的近一个月</w:t>
            </w:r>
            <w:r>
              <w:rPr>
                <w:rFonts w:hint="eastAsia" w:ascii="宋体" w:hAnsi="宋体" w:cs="宋体"/>
                <w:color w:val="auto"/>
                <w:szCs w:val="21"/>
                <w:highlight w:val="none"/>
                <w:lang w:val="en-US" w:eastAsia="zh-CN" w:bidi="ar-SA"/>
              </w:rPr>
              <w:t xml:space="preserve">（公告发布之日起近一个月）</w:t>
            </w:r>
            <w:r>
              <w:rPr>
                <w:rFonts w:hint="eastAsia" w:ascii="宋体" w:hAnsi="宋体" w:eastAsia="宋体" w:cs="宋体"/>
                <w:color w:val="auto"/>
                <w:szCs w:val="21"/>
                <w:highlight w:val="none"/>
                <w:lang w:val="en-US" w:eastAsia="zh-CN" w:bidi="ar-SA"/>
              </w:rPr>
              <w:t xml:space="preserve">的供应商为其缴纳的社会保险证明材料，未提供否则视为无效。【注：社会保险证明：①如供应商注册所在地人力资源和社会保障部门明确的最大查询期与招标文件规定的月份不一致时，须提供相应的文件规定；②项目组成人员达到国家法定退休年龄的或未达到国家法定退休年龄，但提前退休的，无需提供社保证明材料，但需提供退休证明材料（退休证明和有效的劳务合同）。】</w:t>
            </w:r>
            <w:r>
              <w:rPr>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r/>
          </w:p>
        </w:tc>
        <w:tc>
          <w:tcPr>
            <w:tcW w:w="813"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cs="宋体"/>
                <w:color w:val="auto"/>
                <w:szCs w:val="21"/>
                <w:highlight w:val="none"/>
                <w:lang w:val="en-US" w:eastAsia="zh-CN" w:bidi="ar-SA"/>
              </w:rPr>
              <w:t xml:space="preserve">11分</w:t>
            </w:r>
            <w:r>
              <w:rPr>
                <w:highlight w:val="none"/>
              </w:rPr>
            </w:r>
            <w:r/>
          </w:p>
        </w:tc>
      </w:tr>
    </w:tbl>
    <w:p>
      <w:pPr>
        <w:rPr>
          <w:color w:val="auto"/>
          <w:highlight w:val="none"/>
        </w:rPr>
      </w:pPr>
      <w:r>
        <w:rPr>
          <w:color w:val="auto"/>
          <w:highlight w:val="none"/>
        </w:rPr>
      </w:r>
      <w:r>
        <w:rPr>
          <w:highlight w:val="none"/>
        </w:rPr>
      </w:r>
      <w:r/>
    </w:p>
    <w:p>
      <w:pPr>
        <w:rPr>
          <w:color w:val="auto"/>
          <w:sz w:val="20"/>
          <w:highlight w:val="none"/>
        </w:rPr>
      </w:pPr>
      <w:r>
        <w:rPr>
          <w:rFonts w:hint="eastAsia" w:ascii="Times New Roman" w:eastAsia="宋体"/>
          <w:color w:val="auto"/>
          <w:sz w:val="20"/>
          <w:highlight w:val="none"/>
          <w:lang w:val="en-US" w:eastAsia="zh-CN" w:bidi="ar-SA"/>
        </w:rPr>
        <w:t xml:space="preserve"> </w:t>
      </w:r>
      <w:bookmarkEnd w:id="957"/>
      <w:r>
        <w:rPr>
          <w:highlight w:val="none"/>
        </w:rPr>
      </w:r>
      <w:r/>
    </w:p>
    <w:p>
      <w:pPr>
        <w:numPr>
          <w:ilvl w:val="0"/>
          <w:numId w:val="9"/>
        </w:numPr>
        <w:ind w:left="765" w:hanging="765"/>
        <w:jc w:val="left"/>
        <w:spacing w:line="360" w:lineRule="auto"/>
        <w:widowControl/>
        <w:rPr>
          <w:rFonts w:ascii="宋体" w:hAnsi="宋体"/>
          <w:b/>
          <w:color w:val="auto"/>
          <w:sz w:val="24"/>
          <w:highlight w:val="none"/>
        </w:rPr>
      </w:pPr>
      <w:r>
        <w:rPr>
          <w:rFonts w:hint="eastAsia" w:ascii="宋体" w:hAnsi="宋体"/>
          <w:b/>
          <w:color w:val="auto"/>
          <w:sz w:val="24"/>
          <w:highlight w:val="none"/>
          <w:lang w:val="en-US" w:eastAsia="zh-CN" w:bidi="ar-SA"/>
        </w:rPr>
        <w:t xml:space="preserve">价格评估</w:t>
      </w:r>
      <w:r>
        <w:rPr>
          <w:highlight w:val="none"/>
        </w:rPr>
      </w:r>
      <w:r/>
    </w:p>
    <w:p>
      <w:pPr>
        <w:rPr>
          <w:color w:val="auto"/>
          <w:highlight w:val="none"/>
        </w:rPr>
      </w:pPr>
      <w:r>
        <w:rPr>
          <w:highlight w:val="none"/>
        </w:rPr>
      </w:r>
      <w:bookmarkStart w:id="958" w:name="EB00ed059341e447b48aa4c095e09e7fc2"/>
      <w:r>
        <w:rPr>
          <w:highlight w:val="none"/>
        </w:rPr>
      </w:r>
      <w:r/>
    </w:p>
    <w:tbl>
      <w:tblPr>
        <w:tblStyle w:val="781"/>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09"/>
        <w:gridCol w:w="730"/>
        <w:gridCol w:w="7660"/>
        <w:gridCol w:w="583"/>
      </w:tblGrid>
      <w:tr>
        <w:trPr>
          <w:jc w:val="center"/>
          <w:trHeight w:val="707"/>
        </w:trPr>
        <w:tc>
          <w:tcPr>
            <w:tcMar>
              <w:top w:w="100" w:type="dxa"/>
              <w:bottom w:w="100" w:type="dxa"/>
            </w:tcMar>
            <w:tcW w:w="609" w:type="dxa"/>
            <w:vAlign w:val="center"/>
            <w:textDirection w:val="lrTb"/>
            <w:noWrap w:val="false"/>
          </w:tcPr>
          <w:p>
            <w:pPr>
              <w:pStyle w:val="1061"/>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序号</w:t>
            </w:r>
            <w:r>
              <w:rPr>
                <w:highlight w:val="none"/>
              </w:rPr>
            </w:r>
            <w:r/>
          </w:p>
        </w:tc>
        <w:tc>
          <w:tcPr>
            <w:tcMar>
              <w:top w:w="100" w:type="dxa"/>
              <w:bottom w:w="100" w:type="dxa"/>
            </w:tcMar>
            <w:tcW w:w="730" w:type="dxa"/>
            <w:vAlign w:val="center"/>
            <w:textDirection w:val="lrTb"/>
            <w:noWrap w:val="false"/>
          </w:tcPr>
          <w:p>
            <w:pPr>
              <w:pStyle w:val="1061"/>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评审因素</w:t>
            </w:r>
            <w:r>
              <w:rPr>
                <w:highlight w:val="none"/>
              </w:rPr>
            </w:r>
            <w:r/>
          </w:p>
        </w:tc>
        <w:tc>
          <w:tcPr>
            <w:tcMar>
              <w:top w:w="100" w:type="dxa"/>
              <w:bottom w:w="100" w:type="dxa"/>
            </w:tcMar>
            <w:tcW w:w="7660" w:type="dxa"/>
            <w:vAlign w:val="center"/>
            <w:textDirection w:val="lrTb"/>
            <w:noWrap w:val="false"/>
          </w:tcPr>
          <w:p>
            <w:pPr>
              <w:pStyle w:val="1061"/>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评审细则</w:t>
            </w:r>
            <w:r>
              <w:rPr>
                <w:highlight w:val="none"/>
              </w:rPr>
            </w:r>
            <w:r/>
          </w:p>
        </w:tc>
        <w:tc>
          <w:tcPr>
            <w:tcMar>
              <w:top w:w="100" w:type="dxa"/>
              <w:bottom w:w="100" w:type="dxa"/>
            </w:tcMar>
            <w:tcW w:w="583" w:type="dxa"/>
            <w:vAlign w:val="center"/>
            <w:textDirection w:val="lrTb"/>
            <w:noWrap w:val="false"/>
          </w:tcPr>
          <w:p>
            <w:pPr>
              <w:pStyle w:val="1061"/>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分值</w:t>
            </w:r>
            <w:r>
              <w:rPr>
                <w:highlight w:val="none"/>
              </w:rPr>
            </w:r>
            <w:r/>
          </w:p>
        </w:tc>
      </w:tr>
      <w:tr>
        <w:trPr>
          <w:jc w:val="center"/>
        </w:trPr>
        <w:tc>
          <w:tcPr>
            <w:gridSpan w:val="3"/>
            <w:tcMar>
              <w:top w:w="100" w:type="dxa"/>
              <w:bottom w:w="100" w:type="dxa"/>
            </w:tcMar>
            <w:tcW w:w="8999" w:type="dxa"/>
            <w:vAlign w:val="center"/>
            <w:textDirection w:val="lrTb"/>
            <w:noWrap w:val="false"/>
          </w:tcPr>
          <w:p>
            <w:pPr>
              <w:pStyle w:val="1061"/>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报价评价</w:t>
            </w:r>
            <w:r>
              <w:rPr>
                <w:highlight w:val="none"/>
              </w:rPr>
            </w:r>
            <w:r/>
          </w:p>
        </w:tc>
        <w:tc>
          <w:tcPr>
            <w:tcMar>
              <w:top w:w="100" w:type="dxa"/>
              <w:bottom w:w="100" w:type="dxa"/>
            </w:tcMar>
            <w:tcW w:w="583" w:type="dxa"/>
            <w:vAlign w:val="center"/>
            <w:textDirection w:val="lrTb"/>
            <w:noWrap w:val="false"/>
          </w:tcPr>
          <w:p>
            <w:pPr>
              <w:pStyle w:val="1061"/>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bidi="ar-SA"/>
              </w:rPr>
              <w:t xml:space="preserve">50</w:t>
            </w:r>
            <w:r>
              <w:rPr>
                <w:highlight w:val="none"/>
              </w:rPr>
            </w:r>
            <w:r/>
          </w:p>
        </w:tc>
      </w:tr>
      <w:tr>
        <w:trPr>
          <w:jc w:val="center"/>
          <w:trHeight w:val="1170"/>
        </w:trPr>
        <w:tc>
          <w:tcPr>
            <w:tcMar>
              <w:top w:w="100" w:type="dxa"/>
              <w:bottom w:w="100" w:type="dxa"/>
            </w:tcMar>
            <w:tcW w:w="609" w:type="dxa"/>
            <w:vAlign w:val="center"/>
            <w:textDirection w:val="lrTb"/>
            <w:noWrap w:val="false"/>
          </w:tcPr>
          <w:p>
            <w:pPr>
              <w:pStyle w:val="1061"/>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1.1</w:t>
            </w:r>
            <w:r>
              <w:rPr>
                <w:highlight w:val="none"/>
              </w:rPr>
            </w:r>
            <w:r/>
          </w:p>
        </w:tc>
        <w:tc>
          <w:tcPr>
            <w:tcMar>
              <w:top w:w="100" w:type="dxa"/>
              <w:bottom w:w="100" w:type="dxa"/>
            </w:tcMar>
            <w:tcW w:w="730" w:type="dxa"/>
            <w:vAlign w:val="center"/>
            <w:textDirection w:val="lrTb"/>
            <w:noWrap w:val="false"/>
          </w:tcPr>
          <w:p>
            <w:pPr>
              <w:pStyle w:val="1061"/>
              <w:jc w:val="center"/>
              <w:rPr>
                <w:rFonts w:ascii="宋体" w:hAnsi="宋体" w:eastAsia="宋体" w:cs="宋体"/>
                <w:color w:val="auto"/>
                <w:sz w:val="21"/>
                <w:highlight w:val="none"/>
              </w:rPr>
            </w:pPr>
            <w:r>
              <w:rPr>
                <w:rFonts w:ascii="宋体" w:hAnsi="宋体" w:eastAsia="宋体" w:cs="宋体"/>
                <w:color w:val="auto"/>
                <w:sz w:val="21"/>
                <w:highlight w:val="none"/>
                <w:lang w:val="en-US" w:eastAsia="zh-CN" w:bidi="ar-SA"/>
              </w:rPr>
              <w:t xml:space="preserve">报价得分</w:t>
            </w:r>
            <w:r>
              <w:rPr>
                <w:highlight w:val="none"/>
              </w:rPr>
            </w:r>
            <w:r/>
          </w:p>
        </w:tc>
        <w:tc>
          <w:tcPr>
            <w:tcMar>
              <w:top w:w="100" w:type="dxa"/>
              <w:bottom w:w="100" w:type="dxa"/>
            </w:tcMar>
            <w:tcW w:w="7660" w:type="dxa"/>
            <w:vAlign w:val="center"/>
            <w:textDirection w:val="lrTb"/>
            <w:noWrap w:val="false"/>
          </w:tcPr>
          <w:p>
            <w:pPr>
              <w:pStyle w:val="1061"/>
              <w:jc w:val="both"/>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bidi="ar-SA"/>
              </w:rPr>
              <w:t xml:space="preserve">综合评分法中的价格分采用低价优先法计算，即满足磋商文件要求且最后报价最低的供应商的价格为磋商基准价，其价格分为满分50分。其他供应商的价格分统一按照下列公式计算：磋商报价得分= (磋商基准价／最后磋商报价)×50。 </w:t>
            </w:r>
            <w:r>
              <w:rPr>
                <w:highlight w:val="none"/>
              </w:rPr>
            </w:r>
            <w:r/>
          </w:p>
        </w:tc>
        <w:tc>
          <w:tcPr>
            <w:tcMar>
              <w:top w:w="100" w:type="dxa"/>
              <w:bottom w:w="100" w:type="dxa"/>
            </w:tcMar>
            <w:tcW w:w="583" w:type="dxa"/>
            <w:vAlign w:val="center"/>
            <w:textDirection w:val="lrTb"/>
            <w:noWrap w:val="false"/>
          </w:tcPr>
          <w:p>
            <w:pPr>
              <w:pStyle w:val="1061"/>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bidi="ar-SA"/>
              </w:rPr>
              <w:t xml:space="preserve">50</w:t>
            </w:r>
            <w:bookmarkEnd w:id="958"/>
            <w:r>
              <w:rPr>
                <w:highlight w:val="none"/>
              </w:rPr>
            </w:r>
            <w:r/>
          </w:p>
        </w:tc>
      </w:tr>
    </w:tbl>
    <w:p>
      <w:pPr>
        <w:rPr>
          <w:color w:val="auto"/>
          <w:highlight w:val="none"/>
        </w:rPr>
      </w:pPr>
      <w:r>
        <w:rPr>
          <w:color w:val="auto"/>
          <w:highlight w:val="none"/>
        </w:rPr>
      </w:r>
      <w:r>
        <w:rPr>
          <w:highlight w:val="none"/>
        </w:rPr>
      </w:r>
      <w:r/>
    </w:p>
    <w:p>
      <w:pPr>
        <w:pStyle w:val="1002"/>
        <w:ind w:firstLine="321"/>
        <w:jc w:val="left"/>
        <w:spacing w:line="400" w:lineRule="exact"/>
        <w:rPr>
          <w:rFonts w:hint="eastAsia" w:ascii="宋体" w:hAnsi="宋体" w:eastAsia="宋体"/>
          <w:color w:val="auto"/>
          <w:sz w:val="32"/>
          <w:highlight w:val="none"/>
        </w:rPr>
      </w:pPr>
      <w:r>
        <w:rPr>
          <w:rFonts w:hint="eastAsia" w:ascii="宋体" w:hAnsi="宋体" w:eastAsia="宋体"/>
          <w:color w:val="auto"/>
          <w:sz w:val="32"/>
          <w:highlight w:val="none"/>
        </w:rPr>
        <w:t xml:space="preserve">7．推荐成交供应商</w:t>
      </w:r>
      <w:r>
        <w:rPr>
          <w:highlight w:val="none"/>
        </w:rPr>
      </w:r>
      <w:r/>
    </w:p>
    <w:p>
      <w:pPr>
        <w:ind w:firstLine="480"/>
        <w:spacing w:line="360" w:lineRule="auto"/>
        <w:rPr>
          <w:rFonts w:hint="eastAsia" w:ascii="宋体" w:hAnsi="宋体"/>
          <w:color w:val="auto"/>
          <w:sz w:val="24"/>
          <w:highlight w:val="none"/>
        </w:rPr>
      </w:pPr>
      <w:r>
        <w:rPr>
          <w:highlight w:val="none"/>
        </w:rPr>
      </w:r>
      <w:bookmarkStart w:id="959"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959"/>
      <w:r>
        <w:rPr>
          <w:highlight w:val="none"/>
        </w:rPr>
      </w:r>
      <w:r/>
    </w:p>
    <w:p>
      <w:pPr>
        <w:pStyle w:val="815"/>
        <w:ind w:firstLine="0"/>
        <w:rPr>
          <w:color w:val="auto"/>
          <w:highlight w:val="none"/>
        </w:rPr>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720" w:equalWidth="1"/>
          <w:docGrid w:linePitch="360"/>
          <w:titlePg/>
        </w:sectPr>
      </w:pPr>
      <w:r>
        <w:rPr>
          <w:color w:val="auto"/>
          <w:highlight w:val="none"/>
        </w:rPr>
      </w:r>
      <w:r>
        <w:rPr>
          <w:highlight w:val="none"/>
        </w:rPr>
      </w:r>
      <w:r/>
    </w:p>
    <w:p>
      <w:pPr>
        <w:pStyle w:val="1000"/>
        <w:rPr>
          <w:rFonts w:hint="eastAsia" w:ascii="宋体" w:hAnsi="宋体"/>
          <w:color w:val="auto"/>
          <w:sz w:val="36"/>
          <w:highlight w:val="none"/>
        </w:rPr>
      </w:pPr>
      <w:r>
        <w:rPr>
          <w:rFonts w:hint="eastAsia" w:ascii="宋体" w:hAnsi="宋体"/>
          <w:color w:val="auto"/>
          <w:sz w:val="36"/>
          <w:highlight w:val="none"/>
          <w:lang w:eastAsia="zh-CN"/>
        </w:rPr>
        <w:t xml:space="preserve">第六部分  磋商响应文件（格式）</w:t>
      </w:r>
      <w:bookmarkEnd w:id="952"/>
      <w:r>
        <w:rPr>
          <w:highlight w:val="none"/>
        </w:rPr>
      </w:r>
      <w:bookmarkEnd w:id="953"/>
      <w:r>
        <w:rPr>
          <w:highlight w:val="none"/>
        </w:rPr>
      </w:r>
      <w:bookmarkEnd w:id="954"/>
      <w:r>
        <w:rPr>
          <w:highlight w:val="none"/>
        </w:rPr>
      </w:r>
      <w:r/>
    </w:p>
    <w:p>
      <w:pPr>
        <w:rPr>
          <w:color w:val="auto"/>
          <w:highlight w:val="none"/>
        </w:rPr>
      </w:pPr>
      <w:r>
        <w:rPr>
          <w:highlight w:val="none"/>
        </w:rPr>
      </w:r>
      <w:bookmarkStart w:id="960" w:name="EB491a073be94b40b3b791bdad326531a2"/>
      <w:r>
        <w:rPr>
          <w:highlight w:val="none"/>
        </w:rPr>
      </w:r>
      <w:r/>
    </w:p>
    <w:p>
      <w:pPr>
        <w:pStyle w:val="1067"/>
        <w:rPr>
          <w:color w:val="auto"/>
          <w:highlight w:val="none"/>
        </w:rPr>
      </w:pPr>
      <w:r>
        <w:rPr>
          <w:rFonts w:ascii="宋体" w:hAnsi="宋体" w:eastAsia="宋体" w:cs="宋体"/>
          <w:color w:val="auto"/>
          <w:highlight w:val="none"/>
        </w:rPr>
        <w:t xml:space="preserve">﻿</w:t>
      </w:r>
      <w:r>
        <w:rPr>
          <w:highlight w:val="none"/>
        </w:rPr>
      </w:r>
      <w:r/>
    </w:p>
    <w:p>
      <w:pPr>
        <w:pStyle w:val="1067"/>
        <w:jc w:val="center"/>
        <w:spacing w:before="540" w:after="540"/>
        <w:rPr>
          <w:rFonts w:hint="eastAsia" w:ascii="宋体" w:hAnsi="宋体" w:eastAsia="宋体" w:cs="宋体"/>
          <w:b/>
          <w:bCs/>
          <w:color w:val="auto"/>
          <w:sz w:val="54"/>
          <w:szCs w:val="54"/>
          <w:highlight w:val="none"/>
        </w:rPr>
      </w:pPr>
      <w:r>
        <w:rPr>
          <w:rFonts w:ascii="宋体" w:hAnsi="宋体" w:eastAsia="宋体" w:cs="宋体"/>
          <w:b/>
          <w:bCs/>
          <w:color w:val="auto"/>
          <w:sz w:val="54"/>
          <w:szCs w:val="54"/>
          <w:highlight w:val="none"/>
        </w:rPr>
        <w:t xml:space="preserve">磋 商 响 应 文 件</w:t>
      </w:r>
      <w:r>
        <w:rPr>
          <w:highlight w:val="none"/>
        </w:rPr>
      </w:r>
      <w:r/>
    </w:p>
    <w:p>
      <w:pPr>
        <w:pStyle w:val="1067"/>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rPr>
          <w:highlight w:val="none"/>
        </w:rPr>
      </w:r>
      <w:r/>
    </w:p>
    <w:p>
      <w:pPr>
        <w:pStyle w:val="1067"/>
        <w:jc w:val="center"/>
        <w:spacing w:before="320" w:after="320"/>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项目编号：     </w:t>
      </w:r>
      <w:r>
        <w:rPr>
          <w:highlight w:val="none"/>
        </w:rPr>
      </w:r>
      <w:r/>
    </w:p>
    <w:p>
      <w:pPr>
        <w:pStyle w:val="1067"/>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rPr>
          <w:highlight w:val="none"/>
        </w:rPr>
      </w:r>
      <w:r/>
    </w:p>
    <w:p>
      <w:pPr>
        <w:pStyle w:val="1067"/>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rPr>
          <w:highlight w:val="none"/>
        </w:rPr>
      </w:r>
      <w:r/>
    </w:p>
    <w:p>
      <w:pPr>
        <w:pStyle w:val="1067"/>
        <w:jc w:val="center"/>
        <w:spacing w:before="320" w:after="320"/>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项目名称：     </w:t>
      </w:r>
      <w:r>
        <w:rPr>
          <w:highlight w:val="none"/>
        </w:rPr>
      </w:r>
      <w:r/>
    </w:p>
    <w:p>
      <w:pPr>
        <w:pStyle w:val="1067"/>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rPr>
          <w:highlight w:val="none"/>
        </w:rPr>
      </w:r>
      <w:r/>
    </w:p>
    <w:p>
      <w:pPr>
        <w:pStyle w:val="1067"/>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 </w:t>
      </w:r>
      <w:r>
        <w:rPr>
          <w:highlight w:val="none"/>
        </w:rPr>
      </w:r>
      <w:r/>
    </w:p>
    <w:p>
      <w:pPr>
        <w:pStyle w:val="106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pStyle w:val="106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pStyle w:val="1067"/>
        <w:jc w:val="center"/>
        <w:spacing w:before="320" w:after="320"/>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供应商（加盖公章）：     </w:t>
      </w:r>
      <w:r>
        <w:rPr>
          <w:highlight w:val="none"/>
        </w:rPr>
      </w:r>
      <w:r/>
    </w:p>
    <w:p>
      <w:pPr>
        <w:pStyle w:val="1067"/>
        <w:jc w:val="center"/>
        <w:spacing w:before="320" w:after="320"/>
        <w:rPr>
          <w:rFonts w:hint="eastAsia"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 </w:t>
      </w:r>
      <w:r>
        <w:rPr>
          <w:highlight w:val="none"/>
        </w:rPr>
      </w:r>
      <w:r/>
    </w:p>
    <w:p>
      <w:pPr>
        <w:pStyle w:val="1067"/>
        <w:jc w:val="center"/>
        <w:spacing w:before="320" w:after="320" w:line="360" w:lineRule="auto"/>
        <w:rPr>
          <w:rFonts w:hint="eastAsia" w:ascii="宋体" w:hAnsi="宋体" w:eastAsia="宋体" w:cs="宋体"/>
          <w:color w:val="auto"/>
          <w:sz w:val="32"/>
          <w:szCs w:val="32"/>
          <w:highlight w:val="none"/>
        </w:rPr>
      </w:pPr>
      <w:r>
        <w:rPr>
          <w:rFonts w:ascii="宋体" w:hAnsi="宋体" w:eastAsia="宋体" w:cs="宋体"/>
          <w:color w:val="auto"/>
          <w:sz w:val="32"/>
          <w:szCs w:val="32"/>
          <w:highlight w:val="none"/>
        </w:rPr>
        <w:t xml:space="preserve">日期：   </w:t>
      </w:r>
      <w:r>
        <w:rPr>
          <w:highlight w:val="none"/>
        </w:rPr>
      </w:r>
      <w:r/>
    </w:p>
    <w:p>
      <w:pPr>
        <w:pStyle w:val="1068"/>
        <w:jc w:val="center"/>
        <w:rPr>
          <w:color w:val="auto"/>
          <w:highlight w:val="none"/>
        </w:rPr>
        <w:outlineLvl w:val="1"/>
      </w:pPr>
      <w:r>
        <w:rPr>
          <w:color w:val="auto"/>
          <w:highlight w:val="none"/>
        </w:rPr>
        <w:br w:type="page" w:clear="all"/>
      </w:r>
      <w:bookmarkStart w:id="961" w:name="_Toc256000067"/>
      <w:r>
        <w:rPr>
          <w:rFonts w:ascii="宋体" w:hAnsi="宋体" w:eastAsia="宋体" w:cs="宋体"/>
          <w:color w:val="auto"/>
          <w:sz w:val="32"/>
          <w:highlight w:val="none"/>
        </w:rPr>
        <w:t xml:space="preserve">一、资格部分</w:t>
      </w:r>
      <w:bookmarkEnd w:id="961"/>
      <w:r>
        <w:rPr>
          <w:highlight w:val="none"/>
        </w:rPr>
      </w:r>
      <w:r/>
    </w:p>
    <w:p>
      <w:pPr>
        <w:pStyle w:val="1069"/>
        <w:jc w:val="center"/>
        <w:rPr>
          <w:color w:val="auto"/>
          <w:highlight w:val="none"/>
        </w:rPr>
        <w:outlineLvl w:val="2"/>
      </w:pPr>
      <w:r>
        <w:rPr>
          <w:color w:val="auto"/>
          <w:highlight w:val="none"/>
        </w:rPr>
        <w:br w:type="page" w:clear="all"/>
      </w:r>
      <w:bookmarkStart w:id="962" w:name="_Toc256000068"/>
      <w:r>
        <w:rPr>
          <w:rFonts w:ascii="宋体" w:hAnsi="宋体" w:eastAsia="宋体" w:cs="宋体"/>
          <w:color w:val="auto"/>
          <w:sz w:val="28"/>
          <w:highlight w:val="none"/>
        </w:rPr>
        <w:t xml:space="preserve">(一)磋商承诺函</w:t>
      </w:r>
      <w:bookmarkEnd w:id="962"/>
      <w:r>
        <w:rPr>
          <w:highlight w:val="none"/>
        </w:rPr>
      </w:r>
      <w:r/>
    </w:p>
    <w:p>
      <w:pPr>
        <w:pStyle w:val="1070"/>
        <w:rPr>
          <w:color w:val="auto"/>
          <w:highlight w:val="none"/>
        </w:rPr>
      </w:pPr>
      <w:r>
        <w:rPr>
          <w:rFonts w:ascii="宋体" w:hAnsi="宋体" w:eastAsia="宋体" w:cs="宋体"/>
          <w:color w:val="auto"/>
          <w:highlight w:val="none"/>
        </w:rPr>
        <w:t xml:space="preserve">﻿ </w:t>
      </w:r>
      <w:r>
        <w:rPr>
          <w:highlight w:val="none"/>
        </w:rPr>
      </w:r>
      <w:r/>
    </w:p>
    <w:p>
      <w:pPr>
        <w:pStyle w:val="107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致：（磋商组织方） </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根据贵方关于</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的磋商邀请，我方已完全理解磋商文件的所有内容。 </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据此函，我方兹宣布同意如下： </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2.我方承诺：参加本次采购活动前三年内，在经营活动中没有重大违法记录。 </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4.我方承诺按磋商文件要求提供的</w:t>
      </w:r>
      <w:r>
        <w:rPr>
          <w:rFonts w:hint="eastAsia" w:ascii="宋体" w:hAnsi="宋体" w:eastAsia="宋体" w:cs="宋体"/>
          <w:color w:val="auto"/>
          <w:highlight w:val="none"/>
        </w:rPr>
        <w:t xml:space="preserve">工程</w:t>
      </w:r>
      <w:r>
        <w:rPr>
          <w:rFonts w:ascii="宋体" w:hAnsi="宋体" w:eastAsia="宋体" w:cs="宋体"/>
          <w:color w:val="auto"/>
          <w:highlight w:val="none"/>
        </w:rPr>
        <w:t xml:space="preserve">磋商报价见报价一览表。 </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5．我方承诺根据磋商文件的规定，完成合同义务，并承担责任（如有偏离，在响应文件中另作说明）。 </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6．我方已详读全部磋商文件，包括磋商文件书面修改通知（如有），我方完全理解并同意放弃对这方面不明及误解的权利。</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8．我方同意从规定的磋商日期起遵循本磋商文件，并在规定的磋商有效期期满之前均具有约束力。</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9．我方同意向贵方提供贵方可能要求的与本磋商有关的任何证据或资料。</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11．本次响应文件内容与磋商文件内容偏离见磋商偏离表（如果有）。</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12．遵守磋商文件中要求的收费项目和标准。</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13．我方将严格遵守《中华人民共和国政府采购法》，若存在违法违规行为，自愿承担相应的法律后果。</w:t>
      </w:r>
      <w:r>
        <w:rPr>
          <w:highlight w:val="none"/>
        </w:rPr>
      </w:r>
      <w:r/>
    </w:p>
    <w:p>
      <w:pPr>
        <w:pStyle w:val="1070"/>
        <w:ind w:firstLine="42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14．与本磋商有关的一切正式往来通讯请寄：</w:t>
      </w:r>
      <w:r>
        <w:rPr>
          <w:highlight w:val="none"/>
        </w:rPr>
      </w:r>
      <w:r/>
    </w:p>
    <w:p>
      <w:pPr>
        <w:pStyle w:val="1070"/>
        <w:ind w:firstLine="96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地址：    </w:t>
      </w:r>
      <w:r>
        <w:rPr>
          <w:rFonts w:hint="eastAsia" w:ascii="宋体" w:hAnsi="宋体" w:eastAsia="宋体" w:cs="宋体"/>
          <w:color w:val="auto"/>
          <w:highlight w:val="none"/>
        </w:rPr>
        <w:t xml:space="preserve">         </w:t>
      </w:r>
      <w:r>
        <w:rPr>
          <w:rFonts w:ascii="宋体" w:hAnsi="宋体" w:eastAsia="宋体" w:cs="宋体"/>
          <w:color w:val="auto"/>
          <w:highlight w:val="none"/>
        </w:rPr>
        <w:t xml:space="preserve">电话：   </w:t>
      </w:r>
      <w:r>
        <w:rPr>
          <w:highlight w:val="none"/>
        </w:rPr>
      </w:r>
      <w:r/>
    </w:p>
    <w:p>
      <w:pPr>
        <w:pStyle w:val="1070"/>
        <w:ind w:firstLine="96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传真： </w:t>
      </w:r>
      <w:r>
        <w:rPr>
          <w:rFonts w:hint="eastAsia" w:ascii="宋体" w:hAnsi="宋体" w:eastAsia="宋体" w:cs="宋体"/>
          <w:color w:val="auto"/>
          <w:highlight w:val="none"/>
        </w:rPr>
        <w:t xml:space="preserve">         </w:t>
      </w:r>
      <w:r>
        <w:rPr>
          <w:rFonts w:ascii="宋体" w:hAnsi="宋体" w:eastAsia="宋体" w:cs="宋体"/>
          <w:color w:val="auto"/>
          <w:highlight w:val="none"/>
        </w:rPr>
        <w:t xml:space="preserve">   邮政编码：    </w:t>
      </w:r>
      <w:r>
        <w:rPr>
          <w:highlight w:val="none"/>
        </w:rPr>
      </w:r>
      <w:r/>
    </w:p>
    <w:p>
      <w:pPr>
        <w:pStyle w:val="1070"/>
        <w:ind w:firstLine="96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供应商（公章）：   </w:t>
      </w:r>
      <w:r>
        <w:rPr>
          <w:highlight w:val="none"/>
        </w:rPr>
      </w:r>
      <w:r/>
    </w:p>
    <w:p>
      <w:pPr>
        <w:pStyle w:val="1070"/>
        <w:ind w:firstLine="96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法定代表人签章：   </w:t>
      </w:r>
      <w:r>
        <w:rPr>
          <w:highlight w:val="none"/>
        </w:rPr>
      </w:r>
      <w:r/>
    </w:p>
    <w:p>
      <w:pPr>
        <w:pStyle w:val="1070"/>
        <w:ind w:firstLine="960"/>
        <w:spacing w:before="240" w:after="240" w:line="276" w:lineRule="auto"/>
        <w:rPr>
          <w:rFonts w:hint="eastAsia" w:ascii="宋体" w:hAnsi="宋体" w:eastAsia="宋体" w:cs="宋体"/>
          <w:color w:val="auto"/>
          <w:highlight w:val="none"/>
        </w:rPr>
      </w:pPr>
      <w:r>
        <w:rPr>
          <w:rFonts w:ascii="宋体" w:hAnsi="宋体" w:eastAsia="宋体" w:cs="宋体"/>
          <w:color w:val="auto"/>
          <w:highlight w:val="none"/>
        </w:rPr>
        <w:t xml:space="preserve">日 期：   </w:t>
      </w:r>
      <w:r>
        <w:rPr>
          <w:highlight w:val="none"/>
        </w:rPr>
      </w:r>
      <w:r/>
    </w:p>
    <w:p>
      <w:pPr>
        <w:pStyle w:val="1071"/>
        <w:jc w:val="center"/>
        <w:rPr>
          <w:color w:val="auto"/>
          <w:highlight w:val="none"/>
        </w:rPr>
        <w:outlineLvl w:val="2"/>
      </w:pPr>
      <w:r>
        <w:rPr>
          <w:color w:val="auto"/>
          <w:highlight w:val="none"/>
        </w:rPr>
        <w:br w:type="page" w:clear="all"/>
      </w:r>
      <w:bookmarkStart w:id="963" w:name="_Toc256000069"/>
      <w:r>
        <w:rPr>
          <w:rFonts w:ascii="宋体" w:hAnsi="宋体" w:eastAsia="宋体" w:cs="宋体"/>
          <w:color w:val="auto"/>
          <w:sz w:val="28"/>
          <w:highlight w:val="none"/>
        </w:rPr>
        <w:t xml:space="preserve">(二)独立承担民事责任的能力</w:t>
      </w:r>
      <w:bookmarkEnd w:id="963"/>
      <w:r>
        <w:rPr>
          <w:highlight w:val="none"/>
        </w:rPr>
      </w:r>
      <w:r/>
    </w:p>
    <w:p>
      <w:pPr>
        <w:pStyle w:val="1072"/>
        <w:jc w:val="center"/>
        <w:rPr>
          <w:color w:val="auto"/>
          <w:highlight w:val="none"/>
        </w:rPr>
        <w:outlineLvl w:val="2"/>
      </w:pPr>
      <w:r>
        <w:rPr>
          <w:color w:val="auto"/>
          <w:highlight w:val="none"/>
        </w:rPr>
        <w:br w:type="page" w:clear="all"/>
      </w:r>
      <w:bookmarkStart w:id="964" w:name="_Toc256000070"/>
      <w:r>
        <w:rPr>
          <w:rFonts w:ascii="宋体" w:hAnsi="宋体" w:eastAsia="宋体" w:cs="宋体"/>
          <w:color w:val="auto"/>
          <w:sz w:val="28"/>
          <w:highlight w:val="none"/>
        </w:rPr>
        <w:t xml:space="preserve">(三)良好的商业信誉和健全的财务会计制度</w:t>
      </w:r>
      <w:bookmarkEnd w:id="964"/>
      <w:r>
        <w:rPr>
          <w:highlight w:val="none"/>
        </w:rPr>
      </w:r>
      <w:r/>
    </w:p>
    <w:p>
      <w:pPr>
        <w:pStyle w:val="1073"/>
        <w:jc w:val="center"/>
        <w:rPr>
          <w:color w:val="auto"/>
          <w:highlight w:val="none"/>
        </w:rPr>
        <w:outlineLvl w:val="2"/>
      </w:pPr>
      <w:r>
        <w:rPr>
          <w:color w:val="auto"/>
          <w:highlight w:val="none"/>
        </w:rPr>
        <w:br w:type="page" w:clear="all"/>
      </w:r>
      <w:bookmarkStart w:id="965" w:name="_Toc256000071"/>
      <w:r>
        <w:rPr>
          <w:rFonts w:ascii="宋体" w:hAnsi="宋体" w:eastAsia="宋体" w:cs="宋体"/>
          <w:color w:val="auto"/>
          <w:sz w:val="28"/>
          <w:highlight w:val="none"/>
        </w:rPr>
        <w:t xml:space="preserve">(四)履行合同所必需的设备和专业技术能力</w:t>
      </w:r>
      <w:bookmarkEnd w:id="965"/>
      <w:r>
        <w:rPr>
          <w:highlight w:val="none"/>
        </w:rPr>
      </w:r>
      <w:r/>
    </w:p>
    <w:p>
      <w:pPr>
        <w:pStyle w:val="1074"/>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74"/>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74"/>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具备履行合同所必需的设备和专业技术能力的书面声明</w:t>
      </w:r>
      <w:r>
        <w:rPr>
          <w:highlight w:val="none"/>
        </w:rPr>
      </w:r>
      <w:r/>
    </w:p>
    <w:p>
      <w:pPr>
        <w:pStyle w:val="107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74"/>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 </w:t>
      </w:r>
      <w:r>
        <w:rPr>
          <w:highlight w:val="none"/>
        </w:rPr>
      </w:r>
      <w:r/>
    </w:p>
    <w:p>
      <w:pPr>
        <w:pStyle w:val="1074"/>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主要设备有： </w:t>
      </w:r>
      <w:r>
        <w:rPr>
          <w:highlight w:val="none"/>
        </w:rPr>
      </w:r>
      <w:r/>
    </w:p>
    <w:p>
      <w:pPr>
        <w:pStyle w:val="1074"/>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主要专业技术能力有：</w:t>
      </w:r>
      <w:r>
        <w:rPr>
          <w:highlight w:val="none"/>
        </w:rPr>
      </w:r>
      <w:r/>
    </w:p>
    <w:p>
      <w:pPr>
        <w:pStyle w:val="107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7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p>
      <w:pPr>
        <w:pStyle w:val="1074"/>
        <w:ind w:firstLine="48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名称(公章)： </w:t>
      </w:r>
      <w:r>
        <w:rPr>
          <w:highlight w:val="none"/>
        </w:rPr>
      </w:r>
      <w:r/>
    </w:p>
    <w:p>
      <w:pPr>
        <w:pStyle w:val="1074"/>
        <w:ind w:firstLine="720"/>
        <w:jc w:val="center"/>
        <w:spacing w:line="360" w:lineRule="auto"/>
        <w:rPr>
          <w:rFonts w:hint="eastAsia" w:ascii="宋体" w:hAnsi="宋体"/>
          <w:color w:val="auto"/>
          <w:sz w:val="24"/>
          <w:highlight w:val="none"/>
          <w:u w:val="singl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日期： 年 月 日</w:t>
      </w:r>
      <w:r>
        <w:rPr>
          <w:highlight w:val="none"/>
        </w:rPr>
      </w:r>
      <w:r/>
    </w:p>
    <w:p>
      <w:pPr>
        <w:pStyle w:val="1075"/>
        <w:jc w:val="center"/>
        <w:rPr>
          <w:color w:val="auto"/>
          <w:highlight w:val="none"/>
        </w:rPr>
        <w:outlineLvl w:val="2"/>
      </w:pPr>
      <w:r>
        <w:rPr>
          <w:color w:val="auto"/>
          <w:highlight w:val="none"/>
        </w:rPr>
        <w:br w:type="page" w:clear="all"/>
      </w:r>
      <w:bookmarkStart w:id="966" w:name="_Toc256000072"/>
      <w:r>
        <w:rPr>
          <w:rFonts w:ascii="宋体" w:hAnsi="宋体" w:eastAsia="宋体" w:cs="宋体"/>
          <w:color w:val="auto"/>
          <w:sz w:val="28"/>
          <w:highlight w:val="none"/>
        </w:rPr>
        <w:t xml:space="preserve">(五)依法缴纳税收和社会保障资金的良好记录</w:t>
      </w:r>
      <w:bookmarkEnd w:id="966"/>
      <w:r>
        <w:rPr>
          <w:highlight w:val="none"/>
        </w:rPr>
      </w:r>
      <w:r/>
    </w:p>
    <w:p>
      <w:pPr>
        <w:pStyle w:val="1076"/>
        <w:rPr>
          <w:color w:val="auto"/>
          <w:highlight w:val="none"/>
        </w:rPr>
        <w:outlineLvl w:val="2"/>
      </w:pPr>
      <w:r>
        <w:rPr>
          <w:color w:val="auto"/>
          <w:highlight w:val="none"/>
        </w:rPr>
      </w:r>
      <w:r>
        <w:rPr>
          <w:highlight w:val="none"/>
        </w:rPr>
      </w:r>
      <w:r/>
    </w:p>
    <w:p>
      <w:pPr>
        <w:pStyle w:val="1077"/>
        <w:jc w:val="center"/>
        <w:rPr>
          <w:color w:val="auto"/>
          <w:highlight w:val="none"/>
        </w:rPr>
        <w:outlineLvl w:val="2"/>
      </w:pPr>
      <w:r>
        <w:rPr>
          <w:color w:val="auto"/>
          <w:highlight w:val="none"/>
        </w:rPr>
        <w:br w:type="page" w:clear="all"/>
      </w:r>
      <w:bookmarkStart w:id="967" w:name="_Toc256000074"/>
      <w:r>
        <w:rPr>
          <w:highlight w:val="none"/>
        </w:rPr>
      </w:r>
      <w:r/>
    </w:p>
    <w:p>
      <w:pPr>
        <w:pStyle w:val="1076"/>
        <w:rPr>
          <w:rFonts w:eastAsia="宋体"/>
          <w:color w:val="auto"/>
          <w:highlight w:val="none"/>
        </w:rPr>
        <w:outlineLvl w:val="2"/>
      </w:pPr>
      <w:r>
        <w:rPr>
          <w:rFonts w:eastAsia="宋体"/>
          <w:color w:val="auto"/>
          <w:highlight w:val="none"/>
        </w:rPr>
      </w:r>
      <w:r>
        <w:rPr>
          <w:highlight w:val="none"/>
        </w:rPr>
      </w:r>
      <w:r/>
    </w:p>
    <w:p>
      <w:pPr>
        <w:pStyle w:val="1077"/>
        <w:jc w:val="center"/>
        <w:rPr>
          <w:rFonts w:eastAsia="宋体"/>
          <w:color w:val="auto"/>
          <w:highlight w:val="none"/>
        </w:rPr>
        <w:outlineLvl w:val="2"/>
      </w:pPr>
      <w:r>
        <w:rPr>
          <w:rFonts w:eastAsia="宋体"/>
          <w:color w:val="auto"/>
          <w:highlight w:val="none"/>
        </w:rPr>
      </w:r>
      <w:r>
        <w:rPr>
          <w:highlight w:val="none"/>
        </w:rPr>
      </w:r>
      <w:r/>
    </w:p>
    <w:p>
      <w:pPr>
        <w:pStyle w:val="1077"/>
        <w:jc w:val="center"/>
        <w:rPr>
          <w:color w:val="auto"/>
          <w:highlight w:val="none"/>
        </w:rPr>
        <w:outlineLvl w:val="2"/>
      </w:pPr>
      <w:r>
        <w:rPr>
          <w:rFonts w:ascii="宋体" w:hAnsi="宋体" w:eastAsia="宋体" w:cs="宋体"/>
          <w:color w:val="auto"/>
          <w:sz w:val="28"/>
          <w:highlight w:val="none"/>
        </w:rPr>
        <w:t xml:space="preserve">(</w:t>
      </w:r>
      <w:r>
        <w:rPr>
          <w:rFonts w:hint="eastAsia" w:ascii="宋体" w:hAnsi="宋体" w:eastAsia="宋体" w:cs="宋体"/>
          <w:color w:val="auto"/>
          <w:sz w:val="28"/>
          <w:highlight w:val="none"/>
          <w:lang w:eastAsia="zh-CN"/>
        </w:rPr>
        <w:t xml:space="preserve">六</w:t>
      </w:r>
      <w:r>
        <w:rPr>
          <w:rFonts w:ascii="宋体" w:hAnsi="宋体" w:eastAsia="宋体" w:cs="宋体"/>
          <w:color w:val="auto"/>
          <w:sz w:val="28"/>
          <w:highlight w:val="none"/>
        </w:rPr>
        <w:t xml:space="preserve">)落实政府采购政策需满足的资格要求</w:t>
      </w:r>
      <w:bookmarkEnd w:id="967"/>
      <w:r>
        <w:rPr>
          <w:highlight w:val="none"/>
        </w:rPr>
      </w:r>
      <w:r/>
    </w:p>
    <w:p>
      <w:pPr>
        <w:pStyle w:val="1038"/>
        <w:jc w:val="center"/>
        <w:spacing w:before="240" w:beforeAutospacing="0" w:after="240" w:afterAutospacing="0"/>
        <w:rPr>
          <w:rFonts w:hint="eastAsia"/>
          <w:color w:val="auto"/>
          <w:highlight w:val="none"/>
        </w:rPr>
      </w:pPr>
      <w:r>
        <w:rPr>
          <w:rFonts w:cs="宋体"/>
          <w:color w:val="auto"/>
          <w:sz w:val="28"/>
          <w:szCs w:val="28"/>
          <w:highlight w:val="none"/>
          <w:lang w:eastAsia="zh-CN"/>
        </w:rPr>
        <w:t xml:space="preserve">中小企业声明函</w:t>
      </w:r>
      <w:r>
        <w:rPr>
          <w:highlight w:val="none"/>
        </w:rPr>
      </w:r>
      <w:r/>
    </w:p>
    <w:p>
      <w:pPr>
        <w:pStyle w:val="1038"/>
        <w:ind w:firstLine="560"/>
        <w:spacing w:before="240" w:beforeAutospacing="0" w:after="240" w:afterAutospacing="0" w:line="360" w:lineRule="auto"/>
        <w:rPr>
          <w:rFonts w:hint="eastAsia"/>
          <w:color w:val="auto"/>
          <w:highlight w:val="none"/>
        </w:rPr>
      </w:pPr>
      <w:r>
        <w:rPr>
          <w:rFonts w:cs="宋体"/>
          <w:color w:val="auto"/>
          <w:highlight w:val="none"/>
          <w:lang w:eastAsia="zh-CN"/>
        </w:rPr>
        <w:t xml:space="preserve">本公司（联合体）郑重声明，根据《政府采购促进中小企业发展管理办法》（财库﹝2020﹞46号）的规定，本公司（联合体）参加</w:t>
      </w:r>
      <w:r>
        <w:rPr>
          <w:rFonts w:cs="宋体"/>
          <w:color w:val="auto"/>
          <w:highlight w:val="none"/>
          <w:u w:val="single"/>
          <w:lang w:eastAsia="zh-CN"/>
        </w:rPr>
        <w:t xml:space="preserve">（单位名称）</w:t>
      </w:r>
      <w:r>
        <w:rPr>
          <w:rFonts w:cs="宋体"/>
          <w:color w:val="auto"/>
          <w:highlight w:val="none"/>
          <w:lang w:eastAsia="zh-CN"/>
        </w:rPr>
        <w:t xml:space="preserve">的</w:t>
      </w:r>
      <w:r>
        <w:rPr>
          <w:rFonts w:cs="宋体"/>
          <w:color w:val="auto"/>
          <w:highlight w:val="none"/>
          <w:u w:val="single"/>
          <w:lang w:eastAsia="zh-CN"/>
        </w:rPr>
        <w:t xml:space="preserve">（项目名称）</w:t>
      </w:r>
      <w:r>
        <w:rPr>
          <w:rFonts w:cs="宋体"/>
          <w:color w:val="auto"/>
          <w:highlight w:val="none"/>
          <w:lang w:eastAsia="zh-CN"/>
        </w:rPr>
        <w:t xml:space="preserve">采购活动，服务全部由符合政策要求的中小企业承接。相关企业（含联合体中的中小企业、签订分包意向协议的中小企业）的具体情况如下：</w:t>
      </w:r>
      <w:r>
        <w:rPr>
          <w:highlight w:val="none"/>
        </w:rPr>
      </w:r>
      <w:r/>
    </w:p>
    <w:p>
      <w:pPr>
        <w:pStyle w:val="1038"/>
        <w:ind w:firstLine="480"/>
        <w:spacing w:before="240" w:beforeAutospacing="0" w:after="240" w:afterAutospacing="0" w:line="360" w:lineRule="auto"/>
        <w:rPr>
          <w:rFonts w:hint="eastAsia"/>
          <w:color w:val="auto"/>
          <w:highlight w:val="none"/>
        </w:rPr>
      </w:pPr>
      <w:r>
        <w:rPr>
          <w:rFonts w:cs="宋体"/>
          <w:color w:val="auto"/>
          <w:highlight w:val="none"/>
          <w:lang w:eastAsia="zh-CN"/>
        </w:rPr>
        <w:t xml:space="preserve">1.</w:t>
      </w:r>
      <w:r>
        <w:rPr>
          <w:rFonts w:cs="宋体"/>
          <w:color w:val="auto"/>
          <w:highlight w:val="none"/>
          <w:u w:val="single"/>
          <w:lang w:eastAsia="zh-CN"/>
        </w:rPr>
        <w:t xml:space="preserve"> （标的名称） </w:t>
      </w:r>
      <w:r>
        <w:rPr>
          <w:rFonts w:cs="宋体"/>
          <w:color w:val="auto"/>
          <w:highlight w:val="none"/>
          <w:lang w:eastAsia="zh-CN"/>
        </w:rPr>
        <w:t xml:space="preserve">，属于</w:t>
      </w:r>
      <w:r>
        <w:rPr>
          <w:rFonts w:cs="宋体"/>
          <w:color w:val="auto"/>
          <w:highlight w:val="none"/>
          <w:u w:val="single"/>
          <w:lang w:eastAsia="zh-CN"/>
        </w:rPr>
        <w:t xml:space="preserve">（采购文件中明确的所属行业）</w:t>
      </w:r>
      <w:r>
        <w:rPr>
          <w:rFonts w:cs="宋体"/>
          <w:color w:val="auto"/>
          <w:highlight w:val="none"/>
          <w:lang w:eastAsia="zh-CN"/>
        </w:rPr>
        <w:t xml:space="preserve">；承接企业为</w:t>
      </w:r>
      <w:r>
        <w:rPr>
          <w:rFonts w:cs="宋体"/>
          <w:color w:val="auto"/>
          <w:highlight w:val="none"/>
          <w:u w:val="single"/>
          <w:lang w:eastAsia="zh-CN"/>
        </w:rPr>
        <w:t xml:space="preserve">（企业名称）</w:t>
      </w:r>
      <w:r>
        <w:rPr>
          <w:rFonts w:cs="宋体"/>
          <w:color w:val="auto"/>
          <w:highlight w:val="none"/>
          <w:lang w:eastAsia="zh-CN"/>
        </w:rPr>
        <w:t xml:space="preserve">，从业人员</w:t>
      </w:r>
      <w:r>
        <w:rPr>
          <w:rFonts w:cs="宋体"/>
          <w:color w:val="auto"/>
          <w:highlight w:val="none"/>
          <w:u w:val="single"/>
          <w:lang w:eastAsia="zh-CN"/>
        </w:rPr>
        <w:t xml:space="preserve">    </w:t>
      </w:r>
      <w:r>
        <w:rPr>
          <w:rFonts w:cs="宋体"/>
          <w:color w:val="auto"/>
          <w:highlight w:val="none"/>
          <w:lang w:eastAsia="zh-CN"/>
        </w:rPr>
        <w:t xml:space="preserve">人，营业 收入为</w:t>
      </w:r>
      <w:r>
        <w:rPr>
          <w:rFonts w:cs="宋体"/>
          <w:color w:val="auto"/>
          <w:highlight w:val="none"/>
          <w:u w:val="single"/>
          <w:lang w:eastAsia="zh-CN"/>
        </w:rPr>
        <w:t xml:space="preserve">    </w:t>
      </w:r>
      <w:r>
        <w:rPr>
          <w:rFonts w:cs="宋体"/>
          <w:color w:val="auto"/>
          <w:highlight w:val="none"/>
          <w:lang w:eastAsia="zh-CN"/>
        </w:rPr>
        <w:t xml:space="preserve">万元，资产总额为</w:t>
      </w:r>
      <w:r>
        <w:rPr>
          <w:rFonts w:cs="宋体"/>
          <w:color w:val="auto"/>
          <w:highlight w:val="none"/>
          <w:u w:val="single"/>
          <w:lang w:eastAsia="zh-CN"/>
        </w:rPr>
        <w:t xml:space="preserve">    </w:t>
      </w:r>
      <w:r>
        <w:rPr>
          <w:rFonts w:cs="宋体"/>
          <w:color w:val="auto"/>
          <w:highlight w:val="none"/>
          <w:lang w:eastAsia="zh-CN"/>
        </w:rPr>
        <w:t xml:space="preserve">万元，属于</w:t>
      </w:r>
      <w:r>
        <w:rPr>
          <w:rFonts w:cs="宋体"/>
          <w:color w:val="auto"/>
          <w:highlight w:val="none"/>
          <w:u w:val="single"/>
          <w:lang w:eastAsia="zh-CN"/>
        </w:rPr>
        <w:t xml:space="preserve">（中型企业、 小型企业、微型企业）</w:t>
      </w:r>
      <w:r>
        <w:rPr>
          <w:rFonts w:cs="宋体"/>
          <w:color w:val="auto"/>
          <w:highlight w:val="none"/>
          <w:lang w:eastAsia="zh-CN"/>
        </w:rPr>
        <w:t xml:space="preserve">； </w:t>
      </w:r>
      <w:r>
        <w:rPr>
          <w:highlight w:val="none"/>
        </w:rPr>
      </w:r>
      <w:r/>
    </w:p>
    <w:p>
      <w:pPr>
        <w:pStyle w:val="1038"/>
        <w:ind w:firstLine="480"/>
        <w:spacing w:before="240" w:beforeAutospacing="0" w:after="240" w:afterAutospacing="0" w:line="360" w:lineRule="auto"/>
        <w:rPr>
          <w:rFonts w:hint="eastAsia"/>
          <w:color w:val="auto"/>
          <w:highlight w:val="none"/>
        </w:rPr>
      </w:pPr>
      <w:r>
        <w:rPr>
          <w:rFonts w:hint="eastAsia" w:cs="宋体"/>
          <w:color w:val="auto"/>
          <w:highlight w:val="none"/>
          <w:lang w:eastAsia="zh-CN"/>
        </w:rPr>
        <w:t xml:space="preserve">2</w:t>
      </w:r>
      <w:r>
        <w:rPr>
          <w:rFonts w:cs="宋体"/>
          <w:color w:val="auto"/>
          <w:highlight w:val="none"/>
          <w:lang w:eastAsia="zh-CN"/>
        </w:rPr>
        <w:t xml:space="preserve">.</w:t>
      </w:r>
      <w:r>
        <w:rPr>
          <w:rFonts w:cs="宋体"/>
          <w:color w:val="auto"/>
          <w:highlight w:val="none"/>
          <w:u w:val="single"/>
          <w:lang w:eastAsia="zh-CN"/>
        </w:rPr>
        <w:t xml:space="preserve"> （标的名称） </w:t>
      </w:r>
      <w:r>
        <w:rPr>
          <w:rFonts w:cs="宋体"/>
          <w:color w:val="auto"/>
          <w:highlight w:val="none"/>
          <w:lang w:eastAsia="zh-CN"/>
        </w:rPr>
        <w:t xml:space="preserve">，属于</w:t>
      </w:r>
      <w:r>
        <w:rPr>
          <w:rFonts w:cs="宋体"/>
          <w:color w:val="auto"/>
          <w:highlight w:val="none"/>
          <w:u w:val="single"/>
          <w:lang w:eastAsia="zh-CN"/>
        </w:rPr>
        <w:t xml:space="preserve">（采购文件中明确的所属行业）</w:t>
      </w:r>
      <w:r>
        <w:rPr>
          <w:rFonts w:cs="宋体"/>
          <w:color w:val="auto"/>
          <w:highlight w:val="none"/>
          <w:lang w:eastAsia="zh-CN"/>
        </w:rPr>
        <w:t xml:space="preserve">；承接企业为</w:t>
      </w:r>
      <w:r>
        <w:rPr>
          <w:rFonts w:cs="宋体"/>
          <w:color w:val="auto"/>
          <w:highlight w:val="none"/>
          <w:u w:val="single"/>
          <w:lang w:eastAsia="zh-CN"/>
        </w:rPr>
        <w:t xml:space="preserve">（企业名称）</w:t>
      </w:r>
      <w:r>
        <w:rPr>
          <w:rFonts w:cs="宋体"/>
          <w:color w:val="auto"/>
          <w:highlight w:val="none"/>
          <w:lang w:eastAsia="zh-CN"/>
        </w:rPr>
        <w:t xml:space="preserve">，从业人员</w:t>
      </w:r>
      <w:r>
        <w:rPr>
          <w:rFonts w:cs="宋体"/>
          <w:color w:val="auto"/>
          <w:highlight w:val="none"/>
          <w:u w:val="single"/>
          <w:lang w:eastAsia="zh-CN"/>
        </w:rPr>
        <w:t xml:space="preserve">    </w:t>
      </w:r>
      <w:r>
        <w:rPr>
          <w:rFonts w:cs="宋体"/>
          <w:color w:val="auto"/>
          <w:highlight w:val="none"/>
          <w:lang w:eastAsia="zh-CN"/>
        </w:rPr>
        <w:t xml:space="preserve">人，营业 收入为</w:t>
      </w:r>
      <w:r>
        <w:rPr>
          <w:rFonts w:cs="宋体"/>
          <w:color w:val="auto"/>
          <w:highlight w:val="none"/>
          <w:u w:val="single"/>
          <w:lang w:eastAsia="zh-CN"/>
        </w:rPr>
        <w:t xml:space="preserve">    </w:t>
      </w:r>
      <w:r>
        <w:rPr>
          <w:rFonts w:cs="宋体"/>
          <w:color w:val="auto"/>
          <w:highlight w:val="none"/>
          <w:lang w:eastAsia="zh-CN"/>
        </w:rPr>
        <w:t xml:space="preserve">万元，资产总额为</w:t>
      </w:r>
      <w:r>
        <w:rPr>
          <w:rFonts w:cs="宋体"/>
          <w:color w:val="auto"/>
          <w:highlight w:val="none"/>
          <w:u w:val="single"/>
          <w:lang w:eastAsia="zh-CN"/>
        </w:rPr>
        <w:t xml:space="preserve">    </w:t>
      </w:r>
      <w:r>
        <w:rPr>
          <w:rFonts w:cs="宋体"/>
          <w:color w:val="auto"/>
          <w:highlight w:val="none"/>
          <w:lang w:eastAsia="zh-CN"/>
        </w:rPr>
        <w:t xml:space="preserve">万元，属于</w:t>
      </w:r>
      <w:r>
        <w:rPr>
          <w:rFonts w:cs="宋体"/>
          <w:color w:val="auto"/>
          <w:highlight w:val="none"/>
          <w:u w:val="single"/>
          <w:lang w:eastAsia="zh-CN"/>
        </w:rPr>
        <w:t xml:space="preserve">（中型企业、 小型企业、微型企业）</w:t>
      </w:r>
      <w:r>
        <w:rPr>
          <w:rFonts w:cs="宋体"/>
          <w:color w:val="auto"/>
          <w:highlight w:val="none"/>
          <w:lang w:eastAsia="zh-CN"/>
        </w:rPr>
        <w:t xml:space="preserve">； </w:t>
      </w:r>
      <w:r>
        <w:rPr>
          <w:highlight w:val="none"/>
        </w:rPr>
      </w:r>
      <w:r/>
    </w:p>
    <w:p>
      <w:pPr>
        <w:pStyle w:val="1038"/>
        <w:ind w:firstLine="560"/>
        <w:spacing w:before="240" w:beforeAutospacing="0" w:after="240" w:afterAutospacing="0" w:line="360" w:lineRule="auto"/>
        <w:rPr>
          <w:rFonts w:hint="eastAsia"/>
          <w:color w:val="auto"/>
          <w:highlight w:val="none"/>
        </w:rPr>
      </w:pPr>
      <w:r>
        <w:rPr>
          <w:rFonts w:cs="宋体"/>
          <w:color w:val="auto"/>
          <w:highlight w:val="none"/>
          <w:lang w:eastAsia="zh-CN"/>
        </w:rPr>
        <w:t xml:space="preserve">…… </w:t>
      </w:r>
      <w:r>
        <w:rPr>
          <w:highlight w:val="none"/>
        </w:rPr>
      </w:r>
      <w:r/>
    </w:p>
    <w:p>
      <w:pPr>
        <w:pStyle w:val="1038"/>
        <w:ind w:firstLine="482"/>
        <w:spacing w:before="240" w:beforeAutospacing="0" w:after="240" w:afterAutospacing="0" w:line="360" w:lineRule="auto"/>
        <w:rPr>
          <w:rFonts w:hint="eastAsia"/>
          <w:b/>
          <w:color w:val="auto"/>
          <w:highlight w:val="none"/>
        </w:rPr>
      </w:pPr>
      <w:r>
        <w:rPr>
          <w:rFonts w:cs="宋体"/>
          <w:b/>
          <w:color w:val="auto"/>
          <w:highlight w:val="none"/>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rPr>
          <w:highlight w:val="none"/>
        </w:rPr>
      </w:r>
      <w:r/>
    </w:p>
    <w:p>
      <w:pPr>
        <w:pStyle w:val="1038"/>
        <w:ind w:firstLine="560"/>
        <w:spacing w:before="240" w:beforeAutospacing="0" w:after="240" w:afterAutospacing="0" w:line="360" w:lineRule="auto"/>
        <w:rPr>
          <w:rFonts w:hint="eastAsia" w:cs="宋体"/>
          <w:color w:val="auto"/>
          <w:highlight w:val="none"/>
        </w:rPr>
      </w:pPr>
      <w:r>
        <w:rPr>
          <w:rFonts w:cs="宋体"/>
          <w:color w:val="auto"/>
          <w:highlight w:val="none"/>
          <w:lang w:eastAsia="zh-CN"/>
        </w:rPr>
        <w:t xml:space="preserve">企业名称（盖章）：</w:t>
      </w:r>
      <w:r>
        <w:rPr>
          <w:highlight w:val="none"/>
        </w:rPr>
      </w:r>
      <w:r/>
    </w:p>
    <w:p>
      <w:pPr>
        <w:pStyle w:val="1038"/>
        <w:ind w:firstLine="560"/>
        <w:spacing w:before="240" w:beforeAutospacing="0" w:after="240" w:afterAutospacing="0" w:line="360" w:lineRule="auto"/>
        <w:rPr>
          <w:rFonts w:hint="eastAsia" w:cs="宋体"/>
          <w:color w:val="auto"/>
          <w:highlight w:val="none"/>
        </w:rPr>
      </w:pPr>
      <w:r>
        <w:rPr>
          <w:rFonts w:cs="宋体"/>
          <w:color w:val="auto"/>
          <w:highlight w:val="none"/>
          <w:lang w:eastAsia="zh-CN"/>
        </w:rPr>
        <w:t xml:space="preserve">日 期：</w:t>
      </w:r>
      <w:r>
        <w:rPr>
          <w:highlight w:val="none"/>
        </w:rPr>
      </w:r>
      <w:r/>
    </w:p>
    <w:p>
      <w:pPr>
        <w:pStyle w:val="1082"/>
        <w:jc w:val="both"/>
        <w:spacing w:line="360" w:lineRule="auto"/>
        <w:rPr>
          <w:rFonts w:hint="eastAsia" w:ascii="宋体" w:hAnsi="宋体" w:eastAsia="宋体" w:cs="宋体"/>
          <w:b/>
          <w:color w:val="auto"/>
          <w:sz w:val="21"/>
          <w:szCs w:val="21"/>
          <w:highlight w:val="none"/>
          <w:u w:val="single"/>
        </w:rPr>
        <w:outlineLvl w:val="1"/>
      </w:pPr>
      <w:r>
        <w:rPr>
          <w:rFonts w:ascii="宋体" w:hAnsi="宋体" w:eastAsia="宋体" w:cs="宋体"/>
          <w:b/>
          <w:color w:val="auto"/>
          <w:sz w:val="21"/>
          <w:szCs w:val="21"/>
          <w:highlight w:val="none"/>
          <w:u w:val="single"/>
        </w:rPr>
        <w:t xml:space="preserve">注：</w:t>
      </w:r>
      <w:r>
        <w:rPr>
          <w:rFonts w:hint="eastAsia" w:ascii="宋体" w:hAnsi="宋体" w:eastAsia="宋体" w:cs="宋体"/>
          <w:b/>
          <w:color w:val="auto"/>
          <w:sz w:val="21"/>
          <w:szCs w:val="21"/>
          <w:highlight w:val="none"/>
          <w:u w:val="single"/>
        </w:rPr>
        <w:t xml:space="preserve">1.</w:t>
      </w:r>
      <w:r>
        <w:rPr>
          <w:rFonts w:ascii="宋体" w:hAnsi="宋体" w:eastAsia="宋体" w:cs="宋体"/>
          <w:b/>
          <w:color w:val="auto"/>
          <w:sz w:val="21"/>
          <w:szCs w:val="21"/>
          <w:highlight w:val="none"/>
          <w:u w:val="single"/>
        </w:rPr>
        <w:t xml:space="preserve">从业人员、营业收入、资产总额填报上一年度数据，无上一年度数据的新成立企业可不填报。</w:t>
      </w:r>
      <w:r>
        <w:rPr>
          <w:highlight w:val="none"/>
        </w:rPr>
      </w:r>
      <w:r/>
    </w:p>
    <w:p>
      <w:pPr>
        <w:pStyle w:val="1082"/>
        <w:ind w:firstLine="422"/>
        <w:jc w:val="both"/>
        <w:spacing w:line="360" w:lineRule="auto"/>
        <w:rPr>
          <w:rFonts w:hint="eastAsia" w:ascii="宋体" w:hAnsi="宋体" w:eastAsia="宋体" w:cs="宋体"/>
          <w:b/>
          <w:color w:val="auto"/>
          <w:sz w:val="21"/>
          <w:szCs w:val="21"/>
          <w:highlight w:val="none"/>
          <w:u w:val="single"/>
        </w:rPr>
        <w:outlineLvl w:val="1"/>
      </w:pPr>
      <w:r>
        <w:rPr>
          <w:rFonts w:hint="eastAsia" w:ascii="宋体" w:hAnsi="宋体" w:eastAsia="宋体" w:cs="宋体"/>
          <w:b/>
          <w:color w:val="auto"/>
          <w:sz w:val="21"/>
          <w:szCs w:val="21"/>
          <w:highlight w:val="none"/>
          <w:u w:val="single"/>
        </w:rPr>
        <w:t xml:space="preserve">2</w:t>
      </w:r>
      <w:r>
        <w:rPr>
          <w:rFonts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本声明函中“属于（中型企业、小型企业、微型企业）”的内容，必须且只能选择其中之一填写。</w:t>
      </w:r>
      <w:r>
        <w:rPr>
          <w:highlight w:val="none"/>
        </w:rPr>
      </w:r>
      <w:r/>
    </w:p>
    <w:p>
      <w:pPr>
        <w:pStyle w:val="1082"/>
        <w:ind w:firstLine="422"/>
        <w:jc w:val="both"/>
        <w:spacing w:line="360" w:lineRule="auto"/>
        <w:rPr>
          <w:rFonts w:hint="eastAsia" w:ascii="宋体" w:hAnsi="宋体" w:eastAsia="宋体" w:cs="宋体"/>
          <w:b/>
          <w:color w:val="auto"/>
          <w:sz w:val="21"/>
          <w:szCs w:val="21"/>
          <w:highlight w:val="none"/>
          <w:u w:val="single"/>
        </w:rPr>
        <w:outlineLvl w:val="1"/>
      </w:pPr>
      <w:r>
        <w:rPr>
          <w:rFonts w:ascii="宋体" w:hAnsi="宋体" w:eastAsia="宋体" w:cs="宋体"/>
          <w:b/>
          <w:color w:val="auto"/>
          <w:sz w:val="21"/>
          <w:szCs w:val="21"/>
          <w:highlight w:val="none"/>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highlight w:val="none"/>
        </w:rPr>
      </w:r>
      <w:r/>
    </w:p>
    <w:p>
      <w:pPr>
        <w:pStyle w:val="1119"/>
        <w:rPr>
          <w:rFonts w:hint="eastAsia" w:ascii="宋体" w:hAnsi="宋体" w:eastAsia="宋体" w:cs="宋体"/>
          <w:color w:val="auto"/>
          <w:sz w:val="28"/>
          <w:highlight w:val="none"/>
        </w:rPr>
      </w:pPr>
      <w:r>
        <w:rPr>
          <w:color w:val="auto"/>
          <w:highlight w:val="none"/>
          <w:lang w:eastAsia="zh-CN"/>
        </w:rPr>
        <w:br w:type="page" w:clear="all"/>
      </w:r>
      <w:bookmarkStart w:id="968" w:name="_Toc256000076"/>
      <w:r>
        <w:rPr>
          <w:highlight w:val="none"/>
        </w:rPr>
      </w:r>
      <w:r/>
    </w:p>
    <w:p>
      <w:pPr>
        <w:pStyle w:val="1038"/>
        <w:spacing w:before="240" w:beforeAutospacing="0" w:after="240" w:afterAutospacing="0" w:line="85" w:lineRule="atLeast"/>
        <w:rPr>
          <w:rFonts w:hint="eastAsia"/>
          <w:color w:val="auto"/>
          <w:highlight w:val="none"/>
        </w:rPr>
      </w:pPr>
      <w:r>
        <w:rPr>
          <w:rFonts w:hint="eastAsia"/>
          <w:color w:val="auto"/>
          <w:highlight w:val="none"/>
        </w:rPr>
      </w:r>
      <w:r>
        <w:rPr>
          <w:highlight w:val="none"/>
        </w:rPr>
      </w:r>
      <w:r/>
    </w:p>
    <w:p>
      <w:pPr>
        <w:pStyle w:val="1038"/>
        <w:jc w:val="center"/>
        <w:spacing w:before="240" w:beforeAutospacing="0" w:after="240" w:afterAutospacing="0" w:line="85" w:lineRule="atLeast"/>
        <w:rPr>
          <w:rFonts w:hint="eastAsia"/>
          <w:color w:val="auto"/>
          <w:highlight w:val="none"/>
        </w:rPr>
      </w:pPr>
      <w:r>
        <w:rPr>
          <w:rFonts w:cs="宋体"/>
          <w:color w:val="auto"/>
          <w:sz w:val="28"/>
          <w:highlight w:val="none"/>
          <w:lang w:eastAsia="zh-CN"/>
        </w:rPr>
        <w:t xml:space="preserve">(</w:t>
      </w:r>
      <w:r>
        <w:rPr>
          <w:rFonts w:hint="eastAsia" w:cs="宋体"/>
          <w:color w:val="auto"/>
          <w:sz w:val="28"/>
          <w:highlight w:val="none"/>
          <w:lang w:eastAsia="zh-CN"/>
        </w:rPr>
        <w:t xml:space="preserve">七</w:t>
      </w:r>
      <w:r>
        <w:rPr>
          <w:rFonts w:cs="宋体"/>
          <w:color w:val="auto"/>
          <w:sz w:val="28"/>
          <w:highlight w:val="none"/>
          <w:lang w:eastAsia="zh-CN"/>
        </w:rPr>
        <w:t xml:space="preserve">)法定代表人（负责人）身份证明书</w:t>
      </w:r>
      <w:bookmarkEnd w:id="968"/>
      <w:r>
        <w:rPr>
          <w:highlight w:val="none"/>
        </w:rPr>
      </w:r>
      <w:r/>
    </w:p>
    <w:p>
      <w:pPr>
        <w:pStyle w:val="108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pStyle w:val="108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color w:val="auto"/>
          <w:sz w:val="28"/>
          <w:szCs w:val="28"/>
          <w:highlight w:val="none"/>
          <w:u w:val="single"/>
        </w:rPr>
        <w:t xml:space="preserve"> （姓名</w:t>
      </w:r>
      <w:r>
        <w:rPr>
          <w:rFonts w:hint="eastAsia" w:ascii="宋体" w:hAnsi="宋体"/>
          <w:color w:val="auto"/>
          <w:sz w:val="28"/>
          <w:highlight w:val="none"/>
          <w:u w:val="single"/>
        </w:rPr>
        <w:t xml:space="preserve">） </w:t>
      </w:r>
      <w:r>
        <w:rPr>
          <w:rFonts w:hint="eastAsia" w:ascii="宋体" w:hAnsi="宋体"/>
          <w:color w:val="auto"/>
          <w:sz w:val="28"/>
          <w:szCs w:val="28"/>
          <w:highlight w:val="none"/>
        </w:rPr>
        <w:t xml:space="preserve">同志，性别</w:t>
      </w:r>
      <w:r>
        <w:rPr>
          <w:rFonts w:hint="eastAsia" w:ascii="宋体" w:hAnsi="宋体"/>
          <w:color w:val="auto"/>
          <w:sz w:val="28"/>
          <w:szCs w:val="28"/>
          <w:highlight w:val="none"/>
          <w:u w:val="single"/>
        </w:rPr>
        <w:t xml:space="preserve"> （男/女） </w:t>
      </w:r>
      <w:r>
        <w:rPr>
          <w:rFonts w:hint="eastAsia" w:ascii="宋体" w:hAnsi="宋体"/>
          <w:color w:val="auto"/>
          <w:sz w:val="28"/>
          <w:szCs w:val="28"/>
          <w:highlight w:val="none"/>
        </w:rPr>
        <w:t xml:space="preserve">，</w:t>
      </w:r>
      <w:r>
        <w:rPr>
          <w:rFonts w:hint="eastAsia" w:ascii="宋体" w:hAnsi="宋体"/>
          <w:color w:val="auto"/>
          <w:sz w:val="28"/>
          <w:highlight w:val="none"/>
        </w:rPr>
        <w:t xml:space="preserve">居民身份证号</w:t>
      </w:r>
      <w:r>
        <w:rPr>
          <w:rFonts w:hint="eastAsia" w:ascii="宋体" w:hAnsi="宋体"/>
          <w:color w:val="auto"/>
          <w:sz w:val="28"/>
          <w:szCs w:val="28"/>
          <w:highlight w:val="none"/>
          <w:u w:val="single"/>
        </w:rPr>
        <w:t xml:space="preserve"> （身份证号码） </w:t>
      </w:r>
      <w:r>
        <w:rPr>
          <w:rFonts w:hint="eastAsia" w:ascii="宋体" w:hAnsi="宋体"/>
          <w:color w:val="auto"/>
          <w:sz w:val="28"/>
          <w:szCs w:val="28"/>
          <w:highlight w:val="none"/>
        </w:rPr>
        <w:t xml:space="preserve">，在我单位任</w:t>
      </w:r>
      <w:r>
        <w:rPr>
          <w:rFonts w:hint="eastAsia" w:ascii="宋体" w:hAnsi="宋体"/>
          <w:color w:val="auto"/>
          <w:sz w:val="28"/>
          <w:szCs w:val="28"/>
          <w:highlight w:val="none"/>
          <w:u w:val="single"/>
        </w:rPr>
        <w:t xml:space="preserve"> （职务） </w:t>
      </w:r>
      <w:r>
        <w:rPr>
          <w:rFonts w:hint="eastAsia" w:ascii="宋体" w:hAnsi="宋体"/>
          <w:color w:val="auto"/>
          <w:sz w:val="28"/>
          <w:highlight w:val="none"/>
        </w:rPr>
        <w:t xml:space="preserve">，系我单位主要负责人即法定代表人</w:t>
      </w:r>
      <w:r>
        <w:rPr>
          <w:rFonts w:hint="eastAsia" w:ascii="宋体" w:hAnsi="宋体"/>
          <w:color w:val="auto"/>
          <w:sz w:val="28"/>
          <w:szCs w:val="28"/>
          <w:highlight w:val="none"/>
        </w:rPr>
        <w:t xml:space="preserve">。</w:t>
      </w:r>
      <w:r>
        <w:rPr>
          <w:highlight w:val="none"/>
        </w:rPr>
      </w:r>
      <w:r/>
    </w:p>
    <w:p>
      <w:pPr>
        <w:pStyle w:val="108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pStyle w:val="108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pStyle w:val="108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单位地址：</w:t>
      </w:r>
      <w:r>
        <w:rPr>
          <w:rFonts w:hint="eastAsia" w:ascii="宋体" w:hAnsi="宋体"/>
          <w:b/>
          <w:color w:val="auto"/>
          <w:sz w:val="24"/>
          <w:highlight w:val="none"/>
          <w:u w:val="single"/>
        </w:rPr>
        <w:t xml:space="preserve">××</w:t>
      </w:r>
      <w:r>
        <w:rPr>
          <w:highlight w:val="none"/>
        </w:rPr>
      </w:r>
      <w:r/>
    </w:p>
    <w:p>
      <w:pPr>
        <w:pStyle w:val="108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pStyle w:val="108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电    话：</w:t>
      </w:r>
      <w:r>
        <w:rPr>
          <w:rFonts w:hint="eastAsia" w:ascii="宋体" w:hAnsi="宋体"/>
          <w:b/>
          <w:color w:val="auto"/>
          <w:sz w:val="24"/>
          <w:highlight w:val="none"/>
          <w:u w:val="single"/>
        </w:rPr>
        <w:t xml:space="preserve">××</w:t>
      </w:r>
      <w:r>
        <w:rPr>
          <w:highlight w:val="none"/>
        </w:rPr>
      </w:r>
      <w:r/>
    </w:p>
    <w:p>
      <w:pPr>
        <w:pStyle w:val="108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pStyle w:val="108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单位全称： </w:t>
      </w:r>
      <w:r>
        <w:rPr>
          <w:rFonts w:hint="eastAsia" w:ascii="宋体" w:hAnsi="宋体"/>
          <w:b/>
          <w:color w:val="auto"/>
          <w:sz w:val="24"/>
          <w:highlight w:val="none"/>
          <w:u w:val="single"/>
        </w:rPr>
        <w:t xml:space="preserve">××</w:t>
      </w:r>
      <w:r>
        <w:rPr>
          <w:highlight w:val="none"/>
        </w:rPr>
      </w:r>
      <w:r/>
    </w:p>
    <w:p>
      <w:pPr>
        <w:pStyle w:val="108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pStyle w:val="1080"/>
        <w:ind w:firstLine="5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单位盖章： </w:t>
      </w:r>
      <w:r>
        <w:rPr>
          <w:rFonts w:hint="eastAsia" w:ascii="宋体" w:hAnsi="宋体"/>
          <w:b/>
          <w:color w:val="auto"/>
          <w:sz w:val="24"/>
          <w:highlight w:val="none"/>
          <w:u w:val="single"/>
        </w:rPr>
        <w:t xml:space="preserve">××</w:t>
      </w:r>
      <w:r>
        <w:rPr>
          <w:highlight w:val="none"/>
        </w:rPr>
      </w:r>
      <w:r/>
    </w:p>
    <w:p>
      <w:pPr>
        <w:pStyle w:val="1080"/>
        <w:ind w:firstLine="560"/>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pStyle w:val="1080"/>
        <w:ind w:firstLine="560"/>
        <w:jc w:val="righ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r/>
    </w:p>
    <w:p>
      <w:pPr>
        <w:pStyle w:val="1080"/>
        <w:ind w:firstLine="560"/>
        <w:spacing w:line="360" w:lineRule="auto"/>
        <w:tabs>
          <w:tab w:val="left" w:pos="7290" w:leader="none"/>
        </w:tabs>
        <w:rPr>
          <w:rFonts w:hint="eastAsia" w:ascii="宋体" w:hAnsi="宋体"/>
          <w:color w:val="auto"/>
          <w:sz w:val="28"/>
          <w:szCs w:val="28"/>
          <w:highlight w:val="none"/>
        </w:rPr>
      </w:pPr>
      <w:r>
        <w:rPr>
          <w:rFonts w:hint="eastAsia" w:ascii="宋体" w:hAnsi="宋体"/>
          <w:color w:val="auto"/>
          <w:sz w:val="28"/>
          <w:szCs w:val="28"/>
          <w:highlight w:val="none"/>
        </w:rPr>
        <w:t xml:space="preserve">                                 年     月    日</w:t>
      </w:r>
      <w:r>
        <w:rPr>
          <w:highlight w:val="none"/>
        </w:rPr>
      </w:r>
      <w:r/>
    </w:p>
    <w:p>
      <w:pPr>
        <w:pStyle w:val="1080"/>
        <w:ind w:firstLine="560"/>
        <w:spacing w:line="360" w:lineRule="auto"/>
        <w:rPr>
          <w:rFonts w:hint="eastAsia" w:ascii="宋体" w:hAnsi="宋体"/>
          <w:color w:val="auto"/>
          <w:sz w:val="28"/>
          <w:highlight w:val="none"/>
        </w:rPr>
      </w:pPr>
      <w:r>
        <w:rPr>
          <w:rFonts w:hint="eastAsia" w:ascii="宋体" w:hAnsi="宋体"/>
          <w:color w:val="auto"/>
          <w:sz w:val="28"/>
          <w:highlight w:val="none"/>
        </w:rPr>
      </w:r>
      <w:r>
        <w:rPr>
          <w:highlight w:val="none"/>
        </w:rPr>
      </w:r>
      <w:r/>
    </w:p>
    <w:p>
      <w:pPr>
        <w:pStyle w:val="1080"/>
        <w:ind w:firstLine="643"/>
        <w:jc w:val="left"/>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附：法定代表人居民身份证扫描件</w:t>
      </w:r>
      <w:r>
        <w:rPr>
          <w:highlight w:val="none"/>
        </w:rPr>
      </w:r>
      <w:r/>
    </w:p>
    <w:p>
      <w:pPr>
        <w:pStyle w:val="1080"/>
        <w:ind w:firstLine="560"/>
        <w:spacing w:line="360" w:lineRule="auto"/>
        <w:tabs>
          <w:tab w:val="left" w:pos="7290" w:leader="none"/>
        </w:tabs>
        <w:rPr>
          <w:rFonts w:hint="eastAsia" w:ascii="宋体" w:hAnsi="宋体"/>
          <w:color w:val="auto"/>
          <w:sz w:val="28"/>
          <w:highlight w:val="none"/>
        </w:rPr>
      </w:pPr>
      <w:r>
        <w:rPr>
          <w:rFonts w:hint="eastAsia" w:ascii="宋体" w:hAnsi="宋体"/>
          <w:color w:val="auto"/>
          <w:sz w:val="28"/>
          <w:highlight w:val="none"/>
          <w:u w:val="single"/>
        </w:rPr>
        <w:t xml:space="preserve">注：1.“法定代表人”直接参加磋商响应活动的仅需填写本身份证明</w:t>
      </w:r>
      <w:r>
        <w:rPr>
          <w:rFonts w:hint="eastAsia" w:ascii="宋体" w:hAnsi="宋体"/>
          <w:color w:val="auto"/>
          <w:sz w:val="28"/>
          <w:highlight w:val="none"/>
        </w:rPr>
        <w:t xml:space="preserve">。</w:t>
      </w:r>
      <w:r>
        <w:rPr>
          <w:highlight w:val="none"/>
        </w:rPr>
      </w:r>
      <w:r/>
    </w:p>
    <w:p>
      <w:pPr>
        <w:pStyle w:val="1080"/>
        <w:ind w:firstLine="562"/>
        <w:spacing w:line="360" w:lineRule="auto"/>
        <w:tabs>
          <w:tab w:val="left" w:pos="7290" w:leader="none"/>
        </w:tabs>
        <w:rPr>
          <w:rFonts w:hint="eastAsia" w:ascii="宋体" w:hAnsi="宋体"/>
          <w:b/>
          <w:color w:val="auto"/>
          <w:sz w:val="28"/>
          <w:szCs w:val="28"/>
          <w:highlight w:val="none"/>
          <w:u w:val="single"/>
        </w:rPr>
      </w:pPr>
      <w:r>
        <w:rPr>
          <w:rFonts w:hint="eastAsia" w:ascii="宋体" w:hAnsi="宋体"/>
          <w:b/>
          <w:color w:val="auto"/>
          <w:sz w:val="28"/>
          <w:szCs w:val="28"/>
          <w:highlight w:val="none"/>
          <w:u w:val="single"/>
        </w:rPr>
        <w:t xml:space="preserve">2.供应商</w:t>
      </w:r>
      <w:r>
        <w:rPr>
          <w:rFonts w:ascii="宋体" w:hAnsi="宋体"/>
          <w:b/>
          <w:color w:val="auto"/>
          <w:sz w:val="28"/>
          <w:szCs w:val="28"/>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rPr>
          <w:highlight w:val="none"/>
        </w:rPr>
      </w:r>
      <w:r/>
    </w:p>
    <w:p>
      <w:pPr>
        <w:pStyle w:val="1081"/>
        <w:jc w:val="center"/>
        <w:rPr>
          <w:color w:val="auto"/>
          <w:highlight w:val="none"/>
        </w:rPr>
        <w:outlineLvl w:val="2"/>
      </w:pPr>
      <w:r>
        <w:rPr>
          <w:color w:val="auto"/>
          <w:highlight w:val="none"/>
        </w:rPr>
        <w:br w:type="page" w:clear="all"/>
      </w:r>
      <w:bookmarkStart w:id="969" w:name="_Toc256000077"/>
      <w:r>
        <w:rPr>
          <w:rFonts w:ascii="宋体" w:hAnsi="宋体" w:eastAsia="宋体" w:cs="宋体"/>
          <w:color w:val="auto"/>
          <w:sz w:val="28"/>
          <w:highlight w:val="none"/>
        </w:rPr>
        <w:t xml:space="preserve">(</w:t>
      </w:r>
      <w:r>
        <w:rPr>
          <w:rFonts w:hint="eastAsia" w:ascii="宋体" w:hAnsi="宋体" w:eastAsia="宋体" w:cs="宋体"/>
          <w:color w:val="auto"/>
          <w:sz w:val="28"/>
          <w:highlight w:val="none"/>
          <w:lang w:eastAsia="zh-CN"/>
        </w:rPr>
        <w:t xml:space="preserve">八</w:t>
      </w:r>
      <w:r>
        <w:rPr>
          <w:rFonts w:ascii="宋体" w:hAnsi="宋体" w:eastAsia="宋体" w:cs="宋体"/>
          <w:color w:val="auto"/>
          <w:sz w:val="28"/>
          <w:highlight w:val="none"/>
        </w:rPr>
        <w:t xml:space="preserve">)法定代表人（负责人）授权委托书</w:t>
      </w:r>
      <w:bookmarkEnd w:id="969"/>
      <w:r>
        <w:rPr>
          <w:highlight w:val="none"/>
        </w:rPr>
      </w:r>
      <w:r/>
    </w:p>
    <w:p>
      <w:pPr>
        <w:pStyle w:val="1015"/>
        <w:ind w:right="420" w:firstLine="560"/>
        <w:spacing w:line="360" w:lineRule="auto"/>
        <w:rPr>
          <w:rFonts w:hint="eastAsia" w:ascii="宋体" w:hAnsi="宋体"/>
          <w:color w:val="auto"/>
          <w:sz w:val="28"/>
          <w:highlight w:val="none"/>
        </w:rPr>
      </w:pPr>
      <w:r>
        <w:rPr>
          <w:rFonts w:hint="eastAsia" w:ascii="宋体" w:hAnsi="宋体"/>
          <w:color w:val="auto"/>
          <w:sz w:val="28"/>
          <w:highlight w:val="none"/>
        </w:rPr>
      </w:r>
      <w:r>
        <w:rPr>
          <w:highlight w:val="none"/>
        </w:rPr>
      </w:r>
      <w:r/>
    </w:p>
    <w:p>
      <w:pPr>
        <w:pStyle w:val="1015"/>
        <w:ind w:right="420" w:firstLine="560"/>
        <w:spacing w:line="360" w:lineRule="auto"/>
        <w:rPr>
          <w:rFonts w:hint="eastAsia" w:ascii="宋体" w:hAnsi="宋体"/>
          <w:color w:val="auto"/>
          <w:sz w:val="28"/>
          <w:highlight w:val="none"/>
        </w:rPr>
      </w:pPr>
      <w:r>
        <w:rPr>
          <w:rFonts w:hint="eastAsia" w:ascii="宋体" w:hAnsi="宋体"/>
          <w:color w:val="auto"/>
          <w:sz w:val="28"/>
          <w:highlight w:val="none"/>
        </w:rPr>
        <w:t xml:space="preserve">本授权书声明：</w:t>
      </w:r>
      <w:r>
        <w:rPr>
          <w:rFonts w:hint="eastAsia" w:ascii="宋体" w:hAnsi="宋体"/>
          <w:color w:val="auto"/>
          <w:sz w:val="28"/>
          <w:highlight w:val="none"/>
          <w:u w:val="single"/>
        </w:rPr>
        <w:t xml:space="preserve"> （供应商名称） </w:t>
      </w:r>
      <w:r>
        <w:rPr>
          <w:rFonts w:hint="eastAsia" w:ascii="宋体" w:hAnsi="宋体"/>
          <w:color w:val="auto"/>
          <w:sz w:val="28"/>
          <w:highlight w:val="none"/>
        </w:rPr>
        <w:t xml:space="preserve">法定代表人（负责人）</w:t>
      </w:r>
      <w:r>
        <w:rPr>
          <w:rFonts w:hint="eastAsia" w:ascii="宋体" w:hAnsi="宋体"/>
          <w:color w:val="auto"/>
          <w:sz w:val="28"/>
          <w:highlight w:val="none"/>
          <w:u w:val="single"/>
        </w:rPr>
        <w:t xml:space="preserve"> （姓名） </w:t>
      </w:r>
      <w:r>
        <w:rPr>
          <w:rFonts w:hint="eastAsia" w:ascii="宋体" w:hAnsi="宋体"/>
          <w:color w:val="auto"/>
          <w:sz w:val="28"/>
          <w:highlight w:val="none"/>
        </w:rPr>
        <w:t xml:space="preserve">授权</w:t>
      </w:r>
      <w:r>
        <w:rPr>
          <w:rFonts w:hint="eastAsia" w:ascii="宋体" w:hAnsi="宋体"/>
          <w:color w:val="auto"/>
          <w:sz w:val="28"/>
          <w:highlight w:val="none"/>
          <w:u w:val="single"/>
        </w:rPr>
        <w:t xml:space="preserve">（委托代理人的姓名、职务）</w:t>
      </w:r>
      <w:r>
        <w:rPr>
          <w:rFonts w:hint="eastAsia" w:ascii="宋体" w:hAnsi="宋体"/>
          <w:color w:val="auto"/>
          <w:sz w:val="28"/>
          <w:highlight w:val="none"/>
        </w:rPr>
        <w:t xml:space="preserve">为我方就</w:t>
      </w:r>
      <w:r>
        <w:rPr>
          <w:rFonts w:hint="eastAsia" w:ascii="宋体" w:hAnsi="宋体"/>
          <w:color w:val="auto"/>
          <w:sz w:val="28"/>
          <w:highlight w:val="none"/>
          <w:u w:val="single"/>
        </w:rPr>
        <w:t xml:space="preserve">××××（代理机构）代理的××××（项目编号、项目名称）</w:t>
      </w:r>
      <w:r>
        <w:rPr>
          <w:rFonts w:hint="eastAsia" w:ascii="宋体" w:hAnsi="宋体"/>
          <w:bCs/>
          <w:color w:val="auto"/>
          <w:sz w:val="28"/>
          <w:highlight w:val="none"/>
        </w:rPr>
        <w:t xml:space="preserve">项目</w:t>
      </w:r>
      <w:r>
        <w:rPr>
          <w:rFonts w:hint="eastAsia" w:ascii="宋体" w:hAnsi="宋体"/>
          <w:color w:val="auto"/>
          <w:sz w:val="28"/>
          <w:highlight w:val="none"/>
        </w:rPr>
        <w:t xml:space="preserve">的磋商活动的合法代理人，以本单位名义全权处理一切与该项目磋商有关的事务（含合同签订）。</w:t>
      </w:r>
      <w:r>
        <w:rPr>
          <w:highlight w:val="none"/>
        </w:rPr>
      </w:r>
      <w:r/>
    </w:p>
    <w:p>
      <w:pPr>
        <w:pStyle w:val="1015"/>
        <w:ind w:firstLine="560"/>
        <w:spacing w:line="360" w:lineRule="auto"/>
        <w:tabs>
          <w:tab w:val="left" w:pos="5560" w:leader="none"/>
        </w:tabs>
        <w:rPr>
          <w:rFonts w:hint="eastAsia" w:ascii="宋体" w:hAnsi="宋体"/>
          <w:color w:val="auto"/>
          <w:sz w:val="28"/>
          <w:highlight w:val="none"/>
        </w:rPr>
      </w:pPr>
      <w:r>
        <w:rPr>
          <w:rFonts w:hint="eastAsia" w:ascii="宋体" w:hAnsi="宋体"/>
          <w:color w:val="auto"/>
          <w:sz w:val="28"/>
          <w:highlight w:val="none"/>
        </w:rPr>
        <w:tab/>
      </w:r>
      <w:r>
        <w:rPr>
          <w:highlight w:val="none"/>
        </w:rPr>
      </w:r>
      <w:r/>
    </w:p>
    <w:p>
      <w:pPr>
        <w:pStyle w:val="1014"/>
        <w:rPr>
          <w:color w:val="auto"/>
          <w:highlight w:val="none"/>
        </w:rPr>
      </w:pPr>
      <w:r>
        <w:rPr>
          <w:rFonts w:hint="eastAsia" w:ascii="宋体" w:hAnsi="宋体"/>
          <w:color w:val="auto"/>
          <w:sz w:val="28"/>
          <w:highlight w:val="none"/>
          <w:lang w:eastAsia="zh-CN"/>
        </w:rPr>
        <w:t xml:space="preserve">本授权委托书于</w:t>
      </w:r>
      <w:r>
        <w:rPr>
          <w:rFonts w:hint="eastAsia" w:ascii="宋体" w:hAnsi="宋体"/>
          <w:color w:val="auto"/>
          <w:sz w:val="28"/>
          <w:highlight w:val="none"/>
          <w:u w:val="single"/>
          <w:lang w:eastAsia="zh-CN"/>
        </w:rPr>
        <w:t xml:space="preserve">  </w:t>
      </w:r>
      <w:r>
        <w:rPr>
          <w:rFonts w:hint="eastAsia" w:ascii="宋体" w:hAnsi="宋体"/>
          <w:color w:val="auto"/>
          <w:sz w:val="28"/>
          <w:highlight w:val="none"/>
          <w:lang w:eastAsia="zh-CN"/>
        </w:rPr>
        <w:t xml:space="preserve">年</w:t>
      </w:r>
      <w:r>
        <w:rPr>
          <w:rFonts w:hint="eastAsia" w:ascii="宋体" w:hAnsi="宋体"/>
          <w:color w:val="auto"/>
          <w:sz w:val="28"/>
          <w:highlight w:val="none"/>
          <w:u w:val="single"/>
          <w:lang w:eastAsia="zh-CN"/>
        </w:rPr>
        <w:t xml:space="preserve">  </w:t>
      </w:r>
      <w:r>
        <w:rPr>
          <w:rFonts w:hint="eastAsia" w:ascii="宋体" w:hAnsi="宋体"/>
          <w:color w:val="auto"/>
          <w:sz w:val="28"/>
          <w:highlight w:val="none"/>
          <w:lang w:eastAsia="zh-CN"/>
        </w:rPr>
        <w:t xml:space="preserve">月</w:t>
      </w:r>
      <w:r>
        <w:rPr>
          <w:rFonts w:hint="eastAsia" w:ascii="宋体" w:hAnsi="宋体"/>
          <w:color w:val="auto"/>
          <w:sz w:val="28"/>
          <w:highlight w:val="none"/>
          <w:u w:val="single"/>
          <w:lang w:eastAsia="zh-CN"/>
        </w:rPr>
        <w:t xml:space="preserve">  </w:t>
      </w:r>
      <w:r>
        <w:rPr>
          <w:rFonts w:hint="eastAsia" w:ascii="宋体" w:hAnsi="宋体"/>
          <w:color w:val="auto"/>
          <w:sz w:val="28"/>
          <w:highlight w:val="none"/>
          <w:lang w:eastAsia="zh-CN"/>
        </w:rPr>
        <w:t xml:space="preserve">日在</w:t>
      </w:r>
      <w:r>
        <w:rPr>
          <w:rFonts w:ascii="宋体" w:hAnsi="宋体"/>
          <w:color w:val="auto"/>
          <w:sz w:val="28"/>
          <w:highlight w:val="none"/>
          <w:lang w:eastAsia="zh-CN"/>
        </w:rPr>
        <w:t xml:space="preserve">相应位置</w:t>
      </w:r>
      <w:r>
        <w:rPr>
          <w:rFonts w:hint="eastAsia" w:ascii="宋体" w:hAnsi="宋体"/>
          <w:color w:val="auto"/>
          <w:sz w:val="28"/>
          <w:highlight w:val="none"/>
          <w:lang w:eastAsia="zh-CN"/>
        </w:rPr>
        <w:t xml:space="preserve">签字或盖章</w:t>
      </w:r>
      <w:r>
        <w:rPr>
          <w:rFonts w:ascii="宋体" w:hAnsi="宋体"/>
          <w:color w:val="auto"/>
          <w:sz w:val="28"/>
          <w:highlight w:val="none"/>
          <w:lang w:eastAsia="zh-CN"/>
        </w:rPr>
        <w:t xml:space="preserve">后生效</w:t>
      </w:r>
      <w:r>
        <w:rPr>
          <w:rFonts w:hint="eastAsia" w:ascii="宋体" w:hAnsi="宋体"/>
          <w:color w:val="auto"/>
          <w:sz w:val="28"/>
          <w:highlight w:val="none"/>
          <w:lang w:eastAsia="zh-CN"/>
        </w:rPr>
        <w:t xml:space="preserve">，特此声明。</w:t>
      </w:r>
      <w:r>
        <w:rPr>
          <w:highlight w:val="none"/>
        </w:rPr>
      </w:r>
      <w:r/>
    </w:p>
    <w:p>
      <w:pPr>
        <w:pStyle w:val="1015"/>
        <w:ind w:firstLine="560"/>
        <w:spacing w:line="360" w:lineRule="auto"/>
        <w:rPr>
          <w:rFonts w:hint="eastAsia" w:ascii="宋体" w:hAnsi="宋体"/>
          <w:color w:val="auto"/>
          <w:sz w:val="28"/>
          <w:highlight w:val="none"/>
        </w:rPr>
      </w:pPr>
      <w:r>
        <w:rPr>
          <w:rFonts w:hint="eastAsia" w:ascii="宋体" w:hAnsi="宋体"/>
          <w:color w:val="auto"/>
          <w:sz w:val="28"/>
          <w:highlight w:val="none"/>
        </w:rPr>
        <w:t xml:space="preserve">委托代理人身份证号码：</w:t>
      </w:r>
      <w:r>
        <w:rPr>
          <w:rFonts w:hint="eastAsia" w:ascii="宋体" w:hAnsi="宋体"/>
          <w:color w:val="auto"/>
          <w:sz w:val="24"/>
          <w:szCs w:val="24"/>
          <w:highlight w:val="none"/>
          <w:u w:val="single"/>
        </w:rPr>
        <w:t xml:space="preserve">                              </w:t>
      </w:r>
      <w:r>
        <w:rPr>
          <w:highlight w:val="none"/>
        </w:rPr>
      </w:r>
      <w:r/>
    </w:p>
    <w:p>
      <w:pPr>
        <w:pStyle w:val="1015"/>
        <w:ind w:firstLine="560"/>
        <w:spacing w:line="360" w:lineRule="auto"/>
        <w:rPr>
          <w:rFonts w:hint="eastAsia" w:ascii="宋体" w:hAnsi="宋体"/>
          <w:color w:val="auto"/>
          <w:sz w:val="28"/>
          <w:highlight w:val="none"/>
        </w:rPr>
      </w:pPr>
      <w:r>
        <w:rPr>
          <w:rFonts w:hint="eastAsia" w:ascii="宋体" w:hAnsi="宋体"/>
          <w:color w:val="auto"/>
          <w:sz w:val="28"/>
          <w:highlight w:val="none"/>
        </w:rPr>
        <w:t xml:space="preserve">委托代理人联系电话：（手机）</w:t>
      </w:r>
      <w:r>
        <w:rPr>
          <w:rFonts w:hint="eastAsia" w:ascii="宋体" w:hAnsi="宋体"/>
          <w:color w:val="auto"/>
          <w:sz w:val="24"/>
          <w:szCs w:val="24"/>
          <w:highlight w:val="none"/>
          <w:u w:val="single"/>
        </w:rPr>
        <w:t xml:space="preserve">                       </w:t>
      </w:r>
      <w:r>
        <w:rPr>
          <w:highlight w:val="none"/>
        </w:rPr>
      </w:r>
      <w:r/>
    </w:p>
    <w:p>
      <w:pPr>
        <w:pStyle w:val="1015"/>
        <w:ind w:firstLine="560"/>
        <w:spacing w:line="360" w:lineRule="auto"/>
        <w:rPr>
          <w:rFonts w:hint="eastAsia" w:ascii="宋体" w:hAnsi="宋体"/>
          <w:color w:val="auto"/>
          <w:sz w:val="28"/>
          <w:highlight w:val="none"/>
          <w:u w:val="single"/>
        </w:rPr>
      </w:pPr>
      <w:r>
        <w:rPr>
          <w:rFonts w:hint="eastAsia" w:ascii="宋体" w:hAnsi="宋体"/>
          <w:color w:val="auto"/>
          <w:sz w:val="28"/>
          <w:highlight w:val="none"/>
        </w:rPr>
        <w:t xml:space="preserve">法定代表人（负责人）签章</w:t>
      </w:r>
      <w:r>
        <w:rPr>
          <w:rFonts w:hint="eastAsia" w:ascii="宋体" w:hAnsi="宋体"/>
          <w:color w:val="auto"/>
          <w:sz w:val="24"/>
          <w:szCs w:val="24"/>
          <w:highlight w:val="none"/>
          <w:u w:val="single"/>
        </w:rPr>
        <w:t xml:space="preserve">：                          </w:t>
      </w:r>
      <w:r>
        <w:rPr>
          <w:highlight w:val="none"/>
        </w:rPr>
      </w:r>
      <w:r/>
    </w:p>
    <w:p>
      <w:pPr>
        <w:pStyle w:val="1015"/>
        <w:ind w:firstLine="560"/>
        <w:spacing w:line="360" w:lineRule="auto"/>
        <w:rPr>
          <w:rFonts w:hint="eastAsia" w:ascii="宋体" w:hAnsi="宋体"/>
          <w:color w:val="auto"/>
          <w:sz w:val="28"/>
          <w:highlight w:val="none"/>
          <w:u w:val="single"/>
        </w:rPr>
      </w:pPr>
      <w:r>
        <w:rPr>
          <w:rFonts w:hint="eastAsia" w:ascii="宋体" w:hAnsi="宋体"/>
          <w:color w:val="auto"/>
          <w:sz w:val="28"/>
          <w:highlight w:val="none"/>
        </w:rPr>
        <w:t xml:space="preserve">          </w:t>
      </w:r>
      <w:r>
        <w:rPr>
          <w:highlight w:val="none"/>
        </w:rPr>
      </w:r>
      <w:r/>
    </w:p>
    <w:p>
      <w:pPr>
        <w:pStyle w:val="1015"/>
        <w:ind w:firstLine="560"/>
        <w:spacing w:line="360" w:lineRule="auto"/>
        <w:rPr>
          <w:rFonts w:hint="eastAsia" w:ascii="宋体" w:hAnsi="宋体"/>
          <w:color w:val="auto"/>
          <w:sz w:val="28"/>
          <w:highlight w:val="none"/>
        </w:rPr>
      </w:pPr>
      <w:r>
        <w:rPr>
          <w:rFonts w:hint="eastAsia" w:ascii="宋体" w:hAnsi="宋体"/>
          <w:color w:val="auto"/>
          <w:sz w:val="28"/>
          <w:highlight w:val="none"/>
        </w:rPr>
      </w:r>
      <w:r>
        <w:rPr>
          <w:highlight w:val="none"/>
        </w:rPr>
      </w:r>
      <w:r/>
    </w:p>
    <w:p>
      <w:pPr>
        <w:pStyle w:val="1015"/>
        <w:spacing w:line="360" w:lineRule="auto"/>
        <w:rPr>
          <w:rFonts w:hint="eastAsia" w:ascii="宋体" w:hAnsi="宋体"/>
          <w:color w:val="auto"/>
          <w:sz w:val="28"/>
          <w:highlight w:val="none"/>
        </w:rPr>
      </w:pPr>
      <w:r>
        <w:rPr>
          <w:rFonts w:hint="eastAsia" w:ascii="宋体" w:hAnsi="宋体"/>
          <w:color w:val="auto"/>
          <w:sz w:val="28"/>
          <w:highlight w:val="none"/>
        </w:rPr>
      </w:r>
      <w:r>
        <w:rPr>
          <w:highlight w:val="none"/>
        </w:rPr>
      </w:r>
      <w:r/>
    </w:p>
    <w:p>
      <w:pPr>
        <w:pStyle w:val="1015"/>
        <w:ind w:firstLine="560"/>
        <w:spacing w:line="360" w:lineRule="auto"/>
        <w:rPr>
          <w:rFonts w:hint="eastAsia" w:ascii="宋体" w:hAnsi="宋体"/>
          <w:color w:val="auto"/>
          <w:sz w:val="28"/>
          <w:highlight w:val="none"/>
        </w:rPr>
      </w:pPr>
      <w:r>
        <w:rPr>
          <w:rFonts w:hint="eastAsia" w:ascii="宋体" w:hAnsi="宋体"/>
          <w:color w:val="auto"/>
          <w:sz w:val="28"/>
          <w:highlight w:val="none"/>
        </w:rPr>
        <w:t xml:space="preserve">供应商名称（公章）：</w:t>
      </w:r>
      <w:r>
        <w:rPr>
          <w:highlight w:val="none"/>
        </w:rPr>
      </w:r>
      <w:r/>
    </w:p>
    <w:p>
      <w:pPr>
        <w:pStyle w:val="1015"/>
        <w:ind w:firstLine="560"/>
        <w:spacing w:line="360" w:lineRule="auto"/>
        <w:rPr>
          <w:rFonts w:hint="eastAsia" w:ascii="宋体" w:hAnsi="宋体"/>
          <w:color w:val="auto"/>
          <w:sz w:val="28"/>
          <w:highlight w:val="none"/>
        </w:rPr>
      </w:pPr>
      <w:r>
        <w:rPr>
          <w:rFonts w:hint="eastAsia" w:ascii="宋体" w:hAnsi="宋体"/>
          <w:color w:val="auto"/>
          <w:sz w:val="28"/>
          <w:highlight w:val="none"/>
        </w:rPr>
      </w:r>
      <w:r>
        <w:rPr>
          <w:highlight w:val="none"/>
        </w:rPr>
      </w:r>
      <w:r/>
    </w:p>
    <w:p>
      <w:pPr>
        <w:pStyle w:val="1015"/>
        <w:ind w:firstLine="560"/>
        <w:spacing w:line="360" w:lineRule="auto"/>
        <w:rPr>
          <w:rFonts w:hint="eastAsia" w:ascii="宋体" w:hAnsi="宋体"/>
          <w:color w:val="auto"/>
          <w:sz w:val="28"/>
          <w:highlight w:val="none"/>
          <w:u w:val="single"/>
        </w:rPr>
      </w:pPr>
      <w:r>
        <w:rPr>
          <w:rFonts w:hint="eastAsia" w:ascii="宋体" w:hAnsi="宋体"/>
          <w:color w:val="auto"/>
          <w:sz w:val="28"/>
          <w:highlight w:val="none"/>
        </w:rPr>
        <w:t xml:space="preserve">日     期：</w:t>
      </w:r>
      <w:r>
        <w:rPr>
          <w:highlight w:val="none"/>
        </w:rPr>
      </w:r>
      <w:r/>
    </w:p>
    <w:p>
      <w:pPr>
        <w:pStyle w:val="1015"/>
        <w:ind w:firstLine="643"/>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rPr>
          <w:highlight w:val="none"/>
        </w:rPr>
      </w:r>
      <w:r/>
    </w:p>
    <w:p>
      <w:pPr>
        <w:pStyle w:val="1015"/>
        <w:ind w:firstLine="643"/>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附：委托代理人居民身份证扫描件</w:t>
      </w:r>
      <w:r>
        <w:rPr>
          <w:highlight w:val="none"/>
        </w:rPr>
      </w:r>
      <w:r/>
    </w:p>
    <w:p>
      <w:pPr>
        <w:pStyle w:val="1080"/>
        <w:ind w:firstLine="560"/>
        <w:jc w:val="left"/>
        <w:spacing w:line="360" w:lineRule="auto"/>
        <w:tabs>
          <w:tab w:val="left" w:pos="7290" w:leader="none"/>
        </w:tabs>
        <w:rPr>
          <w:color w:val="auto"/>
          <w:highlight w:val="none"/>
        </w:rPr>
      </w:pPr>
      <w:r>
        <w:rPr>
          <w:rFonts w:hint="eastAsia" w:ascii="宋体" w:hAnsi="宋体"/>
          <w:color w:val="auto"/>
          <w:sz w:val="28"/>
          <w:highlight w:val="none"/>
          <w:u w:val="single"/>
        </w:rPr>
        <w:t xml:space="preserve">注：“法定代表人（负责人）”授权委托其他人（必须为供应商正式员工，证明材料：社保交纳材料附后）</w:t>
      </w:r>
      <w:r>
        <w:rPr>
          <w:rFonts w:ascii="宋体" w:hAnsi="宋体"/>
          <w:color w:val="auto"/>
          <w:sz w:val="28"/>
          <w:highlight w:val="none"/>
          <w:u w:val="single"/>
        </w:rPr>
        <w:t xml:space="preserve">磋商</w:t>
      </w:r>
      <w:r>
        <w:rPr>
          <w:rFonts w:hint="eastAsia" w:ascii="宋体" w:hAnsi="宋体"/>
          <w:color w:val="auto"/>
          <w:sz w:val="28"/>
          <w:highlight w:val="none"/>
          <w:u w:val="single"/>
        </w:rPr>
        <w:t xml:space="preserve">的，须填写法定代表人身份证明书和本授权委托书。</w:t>
      </w:r>
      <w:bookmarkStart w:id="970" w:name="_Toc256000078"/>
      <w:r>
        <w:rPr>
          <w:highlight w:val="none"/>
        </w:rPr>
      </w:r>
      <w:r/>
    </w:p>
    <w:p>
      <w:pPr>
        <w:pStyle w:val="1080"/>
        <w:ind w:firstLine="420"/>
        <w:jc w:val="left"/>
        <w:spacing w:line="360" w:lineRule="auto"/>
        <w:tabs>
          <w:tab w:val="left" w:pos="7290" w:leader="none"/>
        </w:tabs>
        <w:rPr>
          <w:color w:val="auto"/>
          <w:highlight w:val="none"/>
        </w:rPr>
      </w:pPr>
      <w:r>
        <w:rPr>
          <w:color w:val="auto"/>
          <w:highlight w:val="none"/>
        </w:rPr>
      </w:r>
      <w:r>
        <w:rPr>
          <w:highlight w:val="none"/>
        </w:rPr>
      </w:r>
      <w:r/>
    </w:p>
    <w:p>
      <w:pPr>
        <w:pStyle w:val="1080"/>
        <w:ind w:firstLine="420"/>
        <w:jc w:val="left"/>
        <w:spacing w:line="360" w:lineRule="auto"/>
        <w:tabs>
          <w:tab w:val="left" w:pos="7290" w:leader="none"/>
        </w:tabs>
        <w:rPr>
          <w:color w:val="auto"/>
          <w:highlight w:val="none"/>
        </w:rPr>
      </w:pPr>
      <w:r>
        <w:rPr>
          <w:color w:val="auto"/>
          <w:highlight w:val="none"/>
        </w:rPr>
      </w:r>
      <w:r>
        <w:rPr>
          <w:highlight w:val="none"/>
        </w:rPr>
      </w:r>
      <w:r/>
    </w:p>
    <w:p>
      <w:pPr>
        <w:pStyle w:val="1080"/>
        <w:ind w:firstLine="420"/>
        <w:jc w:val="left"/>
        <w:spacing w:line="360" w:lineRule="auto"/>
        <w:tabs>
          <w:tab w:val="left" w:pos="7290" w:leader="none"/>
        </w:tabs>
        <w:rPr>
          <w:color w:val="auto"/>
          <w:highlight w:val="none"/>
        </w:rPr>
      </w:pPr>
      <w:r>
        <w:rPr>
          <w:color w:val="auto"/>
          <w:highlight w:val="none"/>
        </w:rPr>
      </w:r>
      <w:r>
        <w:rPr>
          <w:highlight w:val="none"/>
        </w:rPr>
      </w:r>
      <w:r/>
    </w:p>
    <w:p>
      <w:pPr>
        <w:pStyle w:val="1080"/>
        <w:ind w:firstLine="420"/>
        <w:jc w:val="left"/>
        <w:spacing w:line="360" w:lineRule="auto"/>
        <w:tabs>
          <w:tab w:val="left" w:pos="7290" w:leader="none"/>
        </w:tabs>
        <w:rPr>
          <w:color w:val="auto"/>
          <w:highlight w:val="none"/>
        </w:rPr>
      </w:pPr>
      <w:r>
        <w:rPr>
          <w:color w:val="auto"/>
          <w:highlight w:val="none"/>
        </w:rPr>
      </w:r>
      <w:r>
        <w:rPr>
          <w:highlight w:val="none"/>
        </w:rPr>
      </w:r>
      <w:r/>
    </w:p>
    <w:p>
      <w:pPr>
        <w:pStyle w:val="1080"/>
        <w:ind w:firstLine="420"/>
        <w:jc w:val="left"/>
        <w:spacing w:line="360" w:lineRule="auto"/>
        <w:tabs>
          <w:tab w:val="left" w:pos="7290" w:leader="none"/>
        </w:tabs>
        <w:rPr>
          <w:color w:val="auto"/>
          <w:highlight w:val="none"/>
        </w:rPr>
      </w:pPr>
      <w:r>
        <w:rPr>
          <w:color w:val="auto"/>
          <w:highlight w:val="none"/>
        </w:rPr>
      </w:r>
      <w:r>
        <w:rPr>
          <w:highlight w:val="none"/>
        </w:rPr>
      </w:r>
      <w:r/>
    </w:p>
    <w:p>
      <w:pPr>
        <w:pStyle w:val="1082"/>
        <w:jc w:val="center"/>
        <w:spacing w:line="360" w:lineRule="auto"/>
        <w:rPr>
          <w:rFonts w:hint="eastAsia" w:ascii="宋体" w:hAnsi="宋体" w:eastAsia="宋体" w:cs="宋体"/>
          <w:color w:val="auto"/>
          <w:sz w:val="28"/>
          <w:szCs w:val="28"/>
          <w:highlight w:val="none"/>
        </w:rPr>
        <w:outlineLvl w:val="1"/>
      </w:pPr>
      <w:r>
        <w:rPr>
          <w:rFonts w:ascii="宋体" w:hAnsi="宋体" w:eastAsia="宋体" w:cs="宋体"/>
          <w:color w:val="auto"/>
          <w:sz w:val="28"/>
          <w:highlight w:val="none"/>
        </w:rPr>
        <w:t xml:space="preserve">(</w:t>
      </w:r>
      <w:r>
        <w:rPr>
          <w:rFonts w:hint="eastAsia" w:ascii="宋体" w:hAnsi="宋体" w:eastAsia="宋体" w:cs="宋体"/>
          <w:color w:val="auto"/>
          <w:sz w:val="28"/>
          <w:highlight w:val="none"/>
          <w:lang w:eastAsia="zh-CN"/>
        </w:rPr>
        <w:t xml:space="preserve">九</w:t>
      </w:r>
      <w:r>
        <w:rPr>
          <w:rFonts w:ascii="宋体" w:hAnsi="宋体" w:eastAsia="宋体" w:cs="宋体"/>
          <w:color w:val="auto"/>
          <w:sz w:val="28"/>
          <w:highlight w:val="none"/>
        </w:rPr>
        <w:t xml:space="preserve">)</w:t>
      </w:r>
      <w:r>
        <w:rPr>
          <w:rFonts w:hint="eastAsia" w:ascii="宋体" w:hAnsi="宋体" w:eastAsia="宋体" w:cs="宋体"/>
          <w:color w:val="auto"/>
          <w:sz w:val="28"/>
          <w:szCs w:val="28"/>
          <w:highlight w:val="none"/>
        </w:rPr>
        <w:t xml:space="preserve">资格承诺函</w:t>
      </w:r>
      <w:r>
        <w:rPr>
          <w:highlight w:val="none"/>
        </w:rPr>
      </w:r>
      <w:r/>
    </w:p>
    <w:p>
      <w:pPr>
        <w:pStyle w:val="1082"/>
        <w:jc w:val="both"/>
        <w:spacing w:line="360" w:lineRule="auto"/>
        <w:rPr>
          <w:rFonts w:hint="eastAsia" w:ascii="宋体" w:hAnsi="宋体" w:eastAsia="宋体" w:cs="宋体"/>
          <w:color w:val="auto"/>
          <w:highlight w:val="none"/>
          <w:u w:val="single"/>
        </w:rPr>
        <w:outlineLvl w:val="1"/>
      </w:pPr>
      <w:r>
        <w:rPr>
          <w:rFonts w:hint="eastAsia" w:ascii="宋体" w:hAnsi="宋体" w:eastAsia="宋体" w:cs="宋体"/>
          <w:color w:val="auto"/>
          <w:highlight w:val="none"/>
          <w:u w:val="single"/>
        </w:rPr>
      </w:r>
      <w:r>
        <w:rPr>
          <w:highlight w:val="none"/>
        </w:rPr>
      </w:r>
      <w:r/>
    </w:p>
    <w:p>
      <w:pPr>
        <w:pStyle w:val="1082"/>
        <w:jc w:val="both"/>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u w:val="single"/>
        </w:rPr>
        <w:t xml:space="preserve">致： （采购人、采购代理机构）</w:t>
      </w:r>
      <w:r>
        <w:rPr>
          <w:rFonts w:hint="eastAsia" w:ascii="宋体" w:hAnsi="宋体" w:eastAsia="宋体" w:cs="宋体"/>
          <w:color w:val="auto"/>
          <w:highlight w:val="none"/>
        </w:rPr>
        <w:t xml:space="preserve"> </w:t>
      </w:r>
      <w:r>
        <w:rPr>
          <w:highlight w:val="none"/>
        </w:rPr>
      </w:r>
      <w:r/>
    </w:p>
    <w:p>
      <w:pPr>
        <w:pStyle w:val="1082"/>
        <w:ind w:firstLine="480"/>
        <w:jc w:val="both"/>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082"/>
        <w:ind w:firstLine="480"/>
        <w:jc w:val="both"/>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我单位参与</w:t>
      </w:r>
      <w:r>
        <w:rPr>
          <w:rFonts w:hint="eastAsia" w:ascii="宋体" w:hAnsi="宋体" w:eastAsia="宋体" w:cs="宋体"/>
          <w:color w:val="auto"/>
          <w:highlight w:val="none"/>
          <w:u w:val="single"/>
        </w:rPr>
        <w:t xml:space="preserve"> （项目名称：   ）（项目编号：    ）</w:t>
      </w:r>
      <w:r>
        <w:rPr>
          <w:rFonts w:hint="eastAsia" w:ascii="宋体" w:hAnsi="宋体" w:eastAsia="宋体" w:cs="宋体"/>
          <w:color w:val="auto"/>
          <w:highlight w:val="none"/>
        </w:rPr>
        <w:t xml:space="preserve">项目的政府采购活动， </w:t>
      </w:r>
      <w:r>
        <w:rPr>
          <w:highlight w:val="none"/>
        </w:rPr>
      </w:r>
      <w:r/>
    </w:p>
    <w:p>
      <w:pPr>
        <w:pStyle w:val="1082"/>
        <w:ind w:firstLine="480"/>
        <w:jc w:val="both"/>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现承诺如下： </w:t>
      </w:r>
      <w:r>
        <w:rPr>
          <w:highlight w:val="none"/>
        </w:rPr>
      </w:r>
      <w:r/>
    </w:p>
    <w:p>
      <w:pPr>
        <w:pStyle w:val="1082"/>
        <w:ind w:firstLine="480"/>
        <w:jc w:val="both"/>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1.我方具有良好的商业信誉和健全的财务会计制度。 </w:t>
      </w:r>
      <w:r>
        <w:rPr>
          <w:highlight w:val="none"/>
        </w:rPr>
      </w:r>
      <w:r/>
    </w:p>
    <w:p>
      <w:pPr>
        <w:pStyle w:val="1082"/>
        <w:ind w:firstLine="480"/>
        <w:jc w:val="both"/>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2.我方具有履行合同所必需的设备和专业技术能力。 </w:t>
      </w:r>
      <w:r>
        <w:rPr>
          <w:highlight w:val="none"/>
        </w:rPr>
      </w:r>
      <w:r/>
    </w:p>
    <w:p>
      <w:pPr>
        <w:pStyle w:val="1082"/>
        <w:ind w:firstLine="480"/>
        <w:jc w:val="both"/>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3.我方具有依法缴纳税收和社会保障资金的良好记录。 </w:t>
      </w:r>
      <w:r>
        <w:rPr>
          <w:highlight w:val="none"/>
        </w:rPr>
      </w:r>
      <w:r/>
    </w:p>
    <w:p>
      <w:pPr>
        <w:pStyle w:val="1082"/>
        <w:ind w:firstLine="480"/>
        <w:jc w:val="both"/>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4.我方参加本项目采购活动前三年内，在经营活动中没有重大违法记录。 </w:t>
      </w:r>
      <w:r>
        <w:rPr>
          <w:highlight w:val="none"/>
        </w:rPr>
      </w:r>
      <w:r/>
    </w:p>
    <w:p>
      <w:pPr>
        <w:pStyle w:val="1082"/>
        <w:ind w:firstLine="480"/>
        <w:jc w:val="both"/>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若我单位承诺不实，自愿承担提供虚假材料谋取中标、成交的法律责任。 </w:t>
      </w:r>
      <w:r>
        <w:rPr>
          <w:highlight w:val="none"/>
        </w:rPr>
      </w:r>
      <w:r/>
    </w:p>
    <w:p>
      <w:pPr>
        <w:pStyle w:val="1082"/>
        <w:ind w:firstLine="480"/>
        <w:jc w:val="both"/>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082"/>
        <w:ind w:firstLine="480"/>
        <w:jc w:val="both"/>
        <w:spacing w:line="360" w:lineRule="auto"/>
        <w:rPr>
          <w:rFonts w:hint="eastAsia" w:ascii="宋体" w:hAnsi="宋体" w:eastAsia="宋体" w:cs="宋体"/>
          <w:color w:val="auto"/>
          <w:highlight w:val="none"/>
          <w:u w:val="single"/>
        </w:rPr>
        <w:outlineLvl w:val="1"/>
      </w:pPr>
      <w:r>
        <w:rPr>
          <w:rFonts w:hint="eastAsia" w:ascii="宋体" w:hAnsi="宋体" w:eastAsia="宋体" w:cs="宋体"/>
          <w:color w:val="auto"/>
          <w:highlight w:val="none"/>
        </w:rPr>
        <w:t xml:space="preserve">磋商（响应）供应商（全称并盖章）：</w:t>
      </w:r>
      <w:r>
        <w:rPr>
          <w:rFonts w:hint="eastAsia" w:ascii="宋体" w:hAnsi="宋体" w:eastAsia="宋体" w:cs="宋体"/>
          <w:color w:val="auto"/>
          <w:highlight w:val="none"/>
          <w:u w:val="single"/>
        </w:rPr>
        <w:t xml:space="preserve">             </w:t>
      </w:r>
      <w:r>
        <w:rPr>
          <w:highlight w:val="none"/>
        </w:rPr>
      </w:r>
      <w:r/>
    </w:p>
    <w:p>
      <w:pPr>
        <w:pStyle w:val="1082"/>
        <w:ind w:firstLine="480"/>
        <w:jc w:val="both"/>
        <w:spacing w:line="360" w:lineRule="auto"/>
        <w:rPr>
          <w:rFonts w:hint="eastAsia" w:ascii="宋体" w:hAnsi="宋体" w:eastAsia="宋体" w:cs="宋体"/>
          <w:color w:val="auto"/>
          <w:highlight w:val="none"/>
          <w:u w:val="single"/>
        </w:rPr>
        <w:outlineLvl w:val="1"/>
      </w:pPr>
      <w:r>
        <w:rPr>
          <w:rFonts w:hint="eastAsia" w:ascii="宋体" w:hAnsi="宋体" w:eastAsia="宋体" w:cs="宋体"/>
          <w:color w:val="auto"/>
          <w:highlight w:val="none"/>
        </w:rPr>
        <w:t xml:space="preserve">供应商法定代表人或授权代表（签字或签章）：</w:t>
      </w:r>
      <w:r>
        <w:rPr>
          <w:rFonts w:hint="eastAsia" w:ascii="宋体" w:hAnsi="宋体" w:eastAsia="宋体" w:cs="宋体"/>
          <w:color w:val="auto"/>
          <w:highlight w:val="none"/>
          <w:u w:val="single"/>
        </w:rPr>
        <w:t xml:space="preserve">                 </w:t>
      </w:r>
      <w:r>
        <w:rPr>
          <w:highlight w:val="none"/>
        </w:rPr>
      </w:r>
      <w:r/>
    </w:p>
    <w:p>
      <w:pPr>
        <w:pStyle w:val="1082"/>
        <w:ind w:firstLine="480"/>
        <w:jc w:val="both"/>
        <w:spacing w:line="360" w:lineRule="auto"/>
        <w:rPr>
          <w:rFonts w:hint="eastAsia" w:ascii="宋体" w:hAnsi="宋体" w:eastAsia="宋体" w:cs="宋体"/>
          <w:color w:val="auto"/>
          <w:highlight w:val="none"/>
          <w:u w:val="single"/>
        </w:rPr>
        <w:outlineLvl w:val="1"/>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rPr>
          <w:highlight w:val="none"/>
        </w:rPr>
      </w:r>
      <w:r/>
    </w:p>
    <w:p>
      <w:pPr>
        <w:pStyle w:val="1082"/>
        <w:jc w:val="both"/>
        <w:rPr>
          <w:color w:val="auto"/>
          <w:highlight w:val="none"/>
        </w:rPr>
        <w:outlineLvl w:val="1"/>
      </w:pPr>
      <w:r>
        <w:rPr>
          <w:rFonts w:hint="eastAsia"/>
          <w:color w:val="auto"/>
          <w:highlight w:val="none"/>
        </w:rPr>
        <w:t xml:space="preserve">﹍﹍﹍﹍﹍﹍﹍﹍﹍﹍﹍﹍﹍﹍﹍﹍﹍﹍﹍﹍﹍﹍﹍﹍ </w:t>
      </w:r>
      <w:r>
        <w:rPr>
          <w:highlight w:val="none"/>
        </w:rPr>
      </w:r>
      <w:r/>
    </w:p>
    <w:p>
      <w:pPr>
        <w:pStyle w:val="1082"/>
        <w:jc w:val="both"/>
        <w:rPr>
          <w:color w:val="auto"/>
          <w:highlight w:val="none"/>
        </w:rPr>
        <w:outlineLvl w:val="1"/>
      </w:pPr>
      <w:r>
        <w:rPr>
          <w:color w:val="auto"/>
          <w:highlight w:val="none"/>
        </w:rPr>
      </w:r>
      <w:r>
        <w:rPr>
          <w:highlight w:val="none"/>
        </w:rPr>
      </w:r>
      <w:r/>
    </w:p>
    <w:p>
      <w:pPr>
        <w:pStyle w:val="1082"/>
        <w:ind w:firstLine="420"/>
        <w:jc w:val="both"/>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说明：1.供应商可自行选择是否提供本承诺函，若不提供本承诺函的，应按采购文件要求提供相应的证明材料。 </w:t>
      </w:r>
      <w:r>
        <w:rPr>
          <w:highlight w:val="none"/>
        </w:rPr>
      </w:r>
      <w:r/>
    </w:p>
    <w:p>
      <w:pPr>
        <w:pStyle w:val="1082"/>
        <w:ind w:firstLine="420"/>
        <w:jc w:val="both"/>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highlight w:val="none"/>
        </w:rPr>
      </w:r>
      <w:r/>
    </w:p>
    <w:p>
      <w:pPr>
        <w:pStyle w:val="1082"/>
        <w:jc w:val="center"/>
        <w:rPr>
          <w:color w:val="auto"/>
          <w:highlight w:val="none"/>
        </w:rPr>
        <w:outlineLvl w:val="1"/>
      </w:pPr>
      <w:r>
        <w:rPr>
          <w:color w:val="auto"/>
          <w:highlight w:val="none"/>
        </w:rPr>
      </w:r>
      <w:r>
        <w:rPr>
          <w:highlight w:val="none"/>
        </w:rPr>
      </w:r>
      <w:r/>
    </w:p>
    <w:p>
      <w:pPr>
        <w:pStyle w:val="1082"/>
        <w:jc w:val="center"/>
        <w:rPr>
          <w:color w:val="auto"/>
          <w:highlight w:val="none"/>
        </w:rPr>
        <w:outlineLvl w:val="1"/>
      </w:pPr>
      <w:r>
        <w:rPr>
          <w:color w:val="auto"/>
          <w:highlight w:val="none"/>
        </w:rPr>
      </w:r>
      <w:r>
        <w:rPr>
          <w:highlight w:val="none"/>
        </w:rPr>
      </w:r>
      <w:r/>
    </w:p>
    <w:p>
      <w:pPr>
        <w:pStyle w:val="1082"/>
        <w:jc w:val="center"/>
        <w:rPr>
          <w:rFonts w:hint="eastAsia" w:ascii="宋体" w:hAnsi="宋体" w:eastAsia="宋体" w:cs="宋体"/>
          <w:color w:val="auto"/>
          <w:sz w:val="32"/>
          <w:highlight w:val="none"/>
        </w:rPr>
        <w:outlineLvl w:val="1"/>
      </w:pPr>
      <w:r>
        <w:rPr>
          <w:rFonts w:hint="eastAsia" w:ascii="宋体" w:hAnsi="宋体" w:eastAsia="宋体" w:cs="宋体"/>
          <w:color w:val="auto"/>
          <w:sz w:val="32"/>
          <w:highlight w:val="none"/>
        </w:rPr>
      </w:r>
      <w:r>
        <w:rPr>
          <w:highlight w:val="none"/>
        </w:rPr>
      </w:r>
      <w:r/>
    </w:p>
    <w:p>
      <w:pPr>
        <w:pStyle w:val="1082"/>
        <w:jc w:val="center"/>
        <w:rPr>
          <w:rFonts w:hint="eastAsia" w:ascii="宋体" w:hAnsi="宋体" w:eastAsia="宋体" w:cs="宋体"/>
          <w:color w:val="auto"/>
          <w:sz w:val="32"/>
          <w:highlight w:val="none"/>
        </w:rPr>
        <w:outlineLvl w:val="1"/>
      </w:pPr>
      <w:r>
        <w:rPr>
          <w:rFonts w:hint="eastAsia" w:ascii="宋体" w:hAnsi="宋体" w:eastAsia="宋体" w:cs="宋体"/>
          <w:color w:val="auto"/>
          <w:sz w:val="32"/>
          <w:highlight w:val="none"/>
        </w:rPr>
      </w:r>
      <w:r>
        <w:rPr>
          <w:highlight w:val="none"/>
        </w:rPr>
      </w:r>
      <w:r/>
    </w:p>
    <w:p>
      <w:pPr>
        <w:pStyle w:val="1082"/>
        <w:jc w:val="center"/>
        <w:rPr>
          <w:rFonts w:hint="eastAsia" w:ascii="宋体" w:hAnsi="宋体" w:eastAsia="宋体" w:cs="宋体"/>
          <w:color w:val="auto"/>
          <w:sz w:val="32"/>
          <w:highlight w:val="none"/>
        </w:rPr>
        <w:outlineLvl w:val="1"/>
      </w:pPr>
      <w:r>
        <w:rPr>
          <w:rFonts w:hint="eastAsia" w:ascii="宋体" w:hAnsi="宋体" w:eastAsia="宋体" w:cs="宋体"/>
          <w:color w:val="auto"/>
          <w:sz w:val="32"/>
          <w:highlight w:val="none"/>
        </w:rPr>
      </w:r>
      <w:r>
        <w:rPr>
          <w:highlight w:val="none"/>
        </w:rPr>
      </w:r>
      <w:r/>
    </w:p>
    <w:p>
      <w:pPr>
        <w:pStyle w:val="1082"/>
        <w:jc w:val="center"/>
        <w:rPr>
          <w:rFonts w:hint="eastAsia" w:ascii="宋体" w:hAnsi="宋体" w:eastAsia="宋体" w:cs="宋体"/>
          <w:color w:val="auto"/>
          <w:sz w:val="32"/>
          <w:highlight w:val="none"/>
        </w:rPr>
        <w:outlineLvl w:val="1"/>
      </w:pPr>
      <w:r>
        <w:rPr>
          <w:rFonts w:hint="eastAsia" w:ascii="宋体" w:hAnsi="宋体" w:eastAsia="宋体" w:cs="宋体"/>
          <w:color w:val="auto"/>
          <w:sz w:val="32"/>
          <w:highlight w:val="none"/>
        </w:rPr>
      </w:r>
      <w:r>
        <w:rPr>
          <w:highlight w:val="none"/>
        </w:rPr>
      </w:r>
      <w:r/>
    </w:p>
    <w:p>
      <w:pPr>
        <w:pStyle w:val="1082"/>
        <w:jc w:val="center"/>
        <w:rPr>
          <w:rFonts w:hint="eastAsia" w:ascii="宋体" w:hAnsi="宋体" w:eastAsia="宋体" w:cs="宋体"/>
          <w:color w:val="auto"/>
          <w:sz w:val="32"/>
          <w:highlight w:val="none"/>
        </w:rPr>
        <w:outlineLvl w:val="1"/>
      </w:pPr>
      <w:r>
        <w:rPr>
          <w:rFonts w:hint="eastAsia" w:ascii="宋体" w:hAnsi="宋体" w:eastAsia="宋体" w:cs="宋体"/>
          <w:color w:val="auto"/>
          <w:sz w:val="32"/>
          <w:highlight w:val="none"/>
        </w:rPr>
      </w:r>
      <w:r>
        <w:rPr>
          <w:highlight w:val="none"/>
        </w:rPr>
      </w:r>
      <w:r/>
    </w:p>
    <w:p>
      <w:pPr>
        <w:pStyle w:val="1082"/>
        <w:jc w:val="center"/>
        <w:rPr>
          <w:rFonts w:hint="eastAsia" w:ascii="宋体" w:hAnsi="宋体" w:eastAsia="宋体" w:cs="宋体"/>
          <w:color w:val="auto"/>
          <w:sz w:val="32"/>
          <w:highlight w:val="none"/>
        </w:rPr>
        <w:outlineLvl w:val="1"/>
      </w:pPr>
      <w:r>
        <w:rPr>
          <w:rFonts w:hint="eastAsia" w:ascii="宋体" w:hAnsi="宋体" w:eastAsia="宋体" w:cs="宋体"/>
          <w:color w:val="auto"/>
          <w:sz w:val="32"/>
          <w:highlight w:val="none"/>
        </w:rPr>
      </w:r>
      <w:r>
        <w:rPr>
          <w:highlight w:val="none"/>
        </w:rPr>
      </w:r>
      <w:r/>
    </w:p>
    <w:p>
      <w:pPr>
        <w:pStyle w:val="1082"/>
        <w:jc w:val="center"/>
        <w:rPr>
          <w:rFonts w:hint="eastAsia" w:ascii="宋体" w:hAnsi="宋体" w:eastAsia="宋体" w:cs="宋体"/>
          <w:color w:val="auto"/>
          <w:sz w:val="32"/>
          <w:highlight w:val="none"/>
        </w:rPr>
        <w:outlineLvl w:val="1"/>
      </w:pPr>
      <w:r>
        <w:rPr>
          <w:rFonts w:hint="eastAsia" w:ascii="宋体" w:hAnsi="宋体" w:eastAsia="宋体" w:cs="宋体"/>
          <w:color w:val="auto"/>
          <w:sz w:val="32"/>
          <w:highlight w:val="none"/>
        </w:rPr>
      </w:r>
      <w:r>
        <w:rPr>
          <w:highlight w:val="none"/>
        </w:rPr>
      </w:r>
      <w:r/>
    </w:p>
    <w:p>
      <w:pPr>
        <w:pStyle w:val="1082"/>
        <w:jc w:val="center"/>
        <w:rPr>
          <w:rFonts w:hint="eastAsia" w:ascii="宋体" w:hAnsi="宋体" w:eastAsia="宋体" w:cs="宋体"/>
          <w:color w:val="auto"/>
          <w:sz w:val="32"/>
          <w:highlight w:val="none"/>
        </w:rPr>
        <w:outlineLvl w:val="1"/>
      </w:pPr>
      <w:r>
        <w:rPr>
          <w:rFonts w:hint="eastAsia" w:ascii="宋体" w:hAnsi="宋体" w:eastAsia="宋体" w:cs="宋体"/>
          <w:color w:val="auto"/>
          <w:sz w:val="32"/>
          <w:highlight w:val="none"/>
        </w:rPr>
      </w:r>
      <w:r>
        <w:rPr>
          <w:highlight w:val="none"/>
        </w:rPr>
      </w:r>
      <w:r/>
    </w:p>
    <w:p>
      <w:pPr>
        <w:pStyle w:val="1082"/>
        <w:rPr>
          <w:rFonts w:hint="eastAsia" w:ascii="宋体" w:hAnsi="宋体" w:eastAsia="宋体" w:cs="宋体"/>
          <w:color w:val="auto"/>
          <w:sz w:val="32"/>
          <w:highlight w:val="none"/>
        </w:rPr>
        <w:outlineLvl w:val="1"/>
      </w:pPr>
      <w:r>
        <w:rPr>
          <w:rFonts w:hint="eastAsia" w:ascii="宋体" w:hAnsi="宋体" w:eastAsia="宋体" w:cs="宋体"/>
          <w:color w:val="auto"/>
          <w:sz w:val="32"/>
          <w:highlight w:val="none"/>
        </w:rPr>
      </w:r>
      <w:r>
        <w:rPr>
          <w:highlight w:val="none"/>
        </w:rPr>
      </w:r>
      <w:r/>
    </w:p>
    <w:p>
      <w:pPr>
        <w:pStyle w:val="1082"/>
        <w:jc w:val="center"/>
        <w:rPr>
          <w:color w:val="auto"/>
          <w:highlight w:val="none"/>
        </w:rPr>
        <w:outlineLvl w:val="1"/>
      </w:pPr>
      <w:r>
        <w:rPr>
          <w:rFonts w:ascii="宋体" w:hAnsi="宋体" w:eastAsia="宋体" w:cs="宋体"/>
          <w:color w:val="auto"/>
          <w:sz w:val="32"/>
          <w:highlight w:val="none"/>
        </w:rPr>
        <w:t xml:space="preserve">二、技术部分</w:t>
      </w:r>
      <w:bookmarkEnd w:id="970"/>
      <w:r>
        <w:rPr>
          <w:highlight w:val="none"/>
        </w:rPr>
      </w:r>
      <w:r/>
    </w:p>
    <w:p>
      <w:pPr>
        <w:pStyle w:val="1084"/>
        <w:jc w:val="center"/>
        <w:rPr>
          <w:rFonts w:hint="eastAsia" w:ascii="宋体" w:hAnsi="宋体" w:eastAsia="宋体" w:cs="宋体"/>
          <w:color w:val="auto"/>
          <w:sz w:val="28"/>
          <w:szCs w:val="28"/>
          <w:highlight w:val="none"/>
        </w:rPr>
        <w:outlineLvl w:val="1"/>
      </w:pPr>
      <w:r>
        <w:rPr>
          <w:highlight w:val="none"/>
        </w:rPr>
      </w:r>
      <w:bookmarkStart w:id="971" w:name="_Toc256000080"/>
      <w:r>
        <w:rPr>
          <w:rFonts w:hint="eastAsia" w:ascii="宋体" w:hAnsi="宋体" w:eastAsia="宋体" w:cs="宋体"/>
          <w:color w:val="auto"/>
          <w:sz w:val="28"/>
          <w:szCs w:val="28"/>
          <w:highlight w:val="none"/>
        </w:rPr>
        <w:t xml:space="preserve">（根据评分办法中的评分点逐条对应编制）</w:t>
      </w:r>
      <w:r>
        <w:rPr>
          <w:highlight w:val="none"/>
        </w:rPr>
      </w:r>
      <w:r/>
    </w:p>
    <w:p>
      <w:pPr>
        <w:pStyle w:val="1084"/>
        <w:jc w:val="center"/>
        <w:rPr>
          <w:rFonts w:hint="eastAsia" w:ascii="宋体" w:hAnsi="宋体" w:eastAsia="宋体" w:cs="宋体"/>
          <w:color w:val="auto"/>
          <w:sz w:val="32"/>
          <w:highlight w:val="none"/>
        </w:rPr>
        <w:outlineLvl w:val="1"/>
      </w:pPr>
      <w:r>
        <w:rPr>
          <w:rFonts w:hint="eastAsia" w:ascii="宋体" w:hAnsi="宋体" w:eastAsia="宋体" w:cs="宋体"/>
          <w:color w:val="auto"/>
          <w:sz w:val="32"/>
          <w:highlight w:val="none"/>
        </w:rPr>
      </w:r>
      <w:r>
        <w:rPr>
          <w:highlight w:val="none"/>
        </w:rPr>
      </w:r>
      <w:r/>
    </w:p>
    <w:p>
      <w:pPr>
        <w:pStyle w:val="1084"/>
        <w:jc w:val="center"/>
        <w:rPr>
          <w:rFonts w:hint="eastAsia" w:ascii="宋体" w:hAnsi="宋体" w:eastAsia="宋体" w:cs="宋体"/>
          <w:color w:val="auto"/>
          <w:sz w:val="32"/>
          <w:highlight w:val="none"/>
        </w:rPr>
        <w:outlineLvl w:val="1"/>
      </w:pPr>
      <w:r>
        <w:rPr>
          <w:rFonts w:hint="eastAsia" w:ascii="宋体" w:hAnsi="宋体" w:eastAsia="宋体" w:cs="宋体"/>
          <w:color w:val="auto"/>
          <w:sz w:val="32"/>
          <w:highlight w:val="none"/>
        </w:rPr>
      </w:r>
      <w:r>
        <w:rPr>
          <w:highlight w:val="none"/>
        </w:rPr>
      </w:r>
      <w:r/>
    </w:p>
    <w:p>
      <w:pPr>
        <w:pStyle w:val="1084"/>
        <w:jc w:val="center"/>
        <w:rPr>
          <w:rFonts w:hint="eastAsia" w:ascii="宋体" w:hAnsi="宋体" w:eastAsia="宋体" w:cs="宋体"/>
          <w:color w:val="auto"/>
          <w:sz w:val="32"/>
          <w:highlight w:val="none"/>
        </w:rPr>
        <w:outlineLvl w:val="1"/>
      </w:pPr>
      <w:r>
        <w:rPr>
          <w:rFonts w:ascii="宋体" w:hAnsi="宋体" w:eastAsia="宋体" w:cs="宋体"/>
          <w:color w:val="auto"/>
          <w:sz w:val="32"/>
          <w:highlight w:val="none"/>
        </w:rPr>
        <w:t xml:space="preserve">三、商务部分</w:t>
      </w:r>
      <w:bookmarkEnd w:id="971"/>
      <w:r>
        <w:rPr>
          <w:highlight w:val="none"/>
        </w:rPr>
      </w:r>
      <w:r/>
    </w:p>
    <w:p>
      <w:pPr>
        <w:pStyle w:val="1086"/>
        <w:jc w:val="center"/>
        <w:spacing w:line="400" w:lineRule="exact"/>
        <w:widowControl/>
        <w:rPr>
          <w:rFonts w:hint="eastAsia" w:ascii="宋体" w:hAnsi="宋体" w:cs="宋体"/>
          <w:color w:val="auto"/>
          <w:sz w:val="28"/>
          <w:highlight w:val="none"/>
        </w:rPr>
      </w:pPr>
      <w:r>
        <w:rPr>
          <w:highlight w:val="none"/>
        </w:rPr>
      </w:r>
      <w:bookmarkStart w:id="972" w:name="_Toc256000082"/>
      <w:r>
        <w:rPr>
          <w:highlight w:val="none"/>
        </w:rPr>
      </w:r>
      <w:bookmarkEnd w:id="972"/>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t xml:space="preserve">（根据评分办法中的评分点逐条对应编制）</w:t>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6"/>
        <w:jc w:val="center"/>
        <w:spacing w:line="400" w:lineRule="exact"/>
        <w:widowControl/>
        <w:rPr>
          <w:rFonts w:hint="eastAsia" w:ascii="宋体" w:hAnsi="宋体" w:cs="宋体"/>
          <w:color w:val="auto"/>
          <w:sz w:val="28"/>
          <w:highlight w:val="none"/>
        </w:rPr>
      </w:pPr>
      <w:r>
        <w:rPr>
          <w:rFonts w:hint="eastAsia" w:ascii="宋体" w:hAnsi="宋体" w:cs="宋体"/>
          <w:color w:val="auto"/>
          <w:sz w:val="28"/>
          <w:highlight w:val="none"/>
        </w:rPr>
      </w:r>
      <w:r>
        <w:rPr>
          <w:highlight w:val="none"/>
        </w:rPr>
      </w:r>
      <w:r/>
    </w:p>
    <w:p>
      <w:pPr>
        <w:pStyle w:val="1089"/>
        <w:rPr>
          <w:rFonts w:eastAsia="宋体"/>
          <w:color w:val="auto"/>
          <w:highlight w:val="none"/>
        </w:rPr>
        <w:outlineLvl w:val="2"/>
      </w:pPr>
      <w:r>
        <w:rPr>
          <w:highlight w:val="none"/>
        </w:rPr>
      </w:r>
      <w:bookmarkStart w:id="973" w:name="_Toc256000083"/>
      <w:r>
        <w:rPr>
          <w:highlight w:val="none"/>
        </w:rPr>
      </w:r>
      <w:bookmarkEnd w:id="973"/>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rPr>
          <w:rFonts w:eastAsia="宋体"/>
          <w:color w:val="auto"/>
          <w:highlight w:val="none"/>
        </w:rPr>
        <w:outlineLvl w:val="2"/>
      </w:pPr>
      <w:r>
        <w:rPr>
          <w:rFonts w:eastAsia="宋体"/>
          <w:color w:val="auto"/>
          <w:highlight w:val="none"/>
        </w:rPr>
      </w:r>
      <w:r>
        <w:rPr>
          <w:highlight w:val="none"/>
        </w:rPr>
      </w:r>
      <w:r/>
    </w:p>
    <w:p>
      <w:pPr>
        <w:pStyle w:val="1089"/>
        <w:jc w:val="center"/>
        <w:rPr>
          <w:rFonts w:eastAsia="宋体"/>
          <w:color w:val="auto"/>
          <w:highlight w:val="none"/>
        </w:rPr>
        <w:outlineLvl w:val="2"/>
      </w:pPr>
      <w:r>
        <w:rPr>
          <w:highlight w:val="none"/>
        </w:rPr>
      </w:r>
      <w:bookmarkStart w:id="974" w:name="_Toc256000084"/>
      <w:r>
        <w:rPr>
          <w:rFonts w:ascii="宋体" w:hAnsi="宋体" w:eastAsia="宋体" w:cs="宋体"/>
          <w:color w:val="auto"/>
          <w:sz w:val="28"/>
          <w:highlight w:val="none"/>
        </w:rPr>
        <w:t xml:space="preserve">(</w:t>
      </w:r>
      <w:r>
        <w:rPr>
          <w:rFonts w:hint="eastAsia" w:ascii="宋体" w:hAnsi="宋体" w:eastAsia="宋体" w:cs="宋体"/>
          <w:color w:val="auto"/>
          <w:sz w:val="28"/>
          <w:highlight w:val="none"/>
          <w:lang w:eastAsia="zh-CN"/>
        </w:rPr>
        <w:t xml:space="preserve">四</w:t>
      </w:r>
      <w:r>
        <w:rPr>
          <w:rFonts w:ascii="宋体" w:hAnsi="宋体" w:eastAsia="宋体" w:cs="宋体"/>
          <w:color w:val="auto"/>
          <w:sz w:val="28"/>
          <w:highlight w:val="none"/>
        </w:rPr>
        <w:t xml:space="preserve">)</w:t>
      </w:r>
      <w:bookmarkEnd w:id="974"/>
      <w:r>
        <w:rPr>
          <w:rFonts w:hint="eastAsia"/>
          <w:color w:val="auto"/>
          <w:highlight w:val="none"/>
        </w:rPr>
        <w:t xml:space="preserve"> </w:t>
      </w:r>
      <w:r>
        <w:rPr>
          <w:rFonts w:hint="eastAsia" w:ascii="宋体" w:hAnsi="宋体" w:eastAsia="宋体" w:cs="宋体"/>
          <w:color w:val="auto"/>
          <w:sz w:val="28"/>
          <w:highlight w:val="none"/>
        </w:rPr>
        <w:t xml:space="preserve">项目组成人员评价</w:t>
      </w:r>
      <w:r>
        <w:rPr>
          <w:highlight w:val="none"/>
        </w:rPr>
      </w:r>
      <w:r/>
    </w:p>
    <w:p>
      <w:pPr>
        <w:pStyle w:val="1092"/>
        <w:ind w:firstLine="482"/>
        <w:spacing w:line="360" w:lineRule="auto"/>
        <w:rPr>
          <w:rFonts w:hint="eastAsia" w:ascii="宋体" w:hAnsi="宋体"/>
          <w:b/>
          <w:color w:val="auto"/>
          <w:sz w:val="24"/>
          <w:szCs w:val="20"/>
          <w:highlight w:val="none"/>
        </w:rPr>
      </w:pPr>
      <w:r>
        <w:rPr>
          <w:rFonts w:hint="eastAsia" w:ascii="宋体" w:hAnsi="宋体"/>
          <w:b/>
          <w:color w:val="auto"/>
          <w:sz w:val="24"/>
          <w:szCs w:val="20"/>
          <w:highlight w:val="none"/>
        </w:rPr>
      </w:r>
      <w:r>
        <w:rPr>
          <w:highlight w:val="none"/>
        </w:rPr>
      </w:r>
      <w:r/>
    </w:p>
    <w:tbl>
      <w:tblPr>
        <w:tblStyle w:val="781"/>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textDirection w:val="lrTb"/>
            <w:noWrap w:val="false"/>
          </w:tcPr>
          <w:p>
            <w:pPr>
              <w:pStyle w:val="109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序号</w:t>
            </w:r>
            <w:r>
              <w:rPr>
                <w:highlight w:val="none"/>
              </w:rPr>
            </w:r>
            <w:r/>
          </w:p>
        </w:tc>
        <w:tc>
          <w:tcPr>
            <w:tcW w:w="919" w:type="dxa"/>
            <w:textDirection w:val="lrTb"/>
            <w:noWrap w:val="false"/>
          </w:tcPr>
          <w:p>
            <w:pPr>
              <w:pStyle w:val="109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姓名</w:t>
            </w:r>
            <w:r>
              <w:rPr>
                <w:highlight w:val="none"/>
              </w:rPr>
            </w:r>
            <w:r/>
          </w:p>
        </w:tc>
        <w:tc>
          <w:tcPr>
            <w:tcW w:w="1575" w:type="dxa"/>
            <w:textDirection w:val="lrTb"/>
            <w:noWrap w:val="false"/>
          </w:tcPr>
          <w:p>
            <w:pPr>
              <w:pStyle w:val="109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身份证号</w:t>
            </w:r>
            <w:r>
              <w:rPr>
                <w:highlight w:val="none"/>
              </w:rPr>
            </w:r>
            <w:r/>
          </w:p>
        </w:tc>
        <w:tc>
          <w:tcPr>
            <w:tcW w:w="1443" w:type="dxa"/>
            <w:textDirection w:val="lrTb"/>
            <w:noWrap w:val="false"/>
          </w:tcPr>
          <w:p>
            <w:pPr>
              <w:pStyle w:val="109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人员类别</w:t>
            </w:r>
            <w:r>
              <w:rPr>
                <w:highlight w:val="none"/>
              </w:rPr>
            </w:r>
            <w:r/>
          </w:p>
        </w:tc>
        <w:tc>
          <w:tcPr>
            <w:tcW w:w="1970" w:type="dxa"/>
            <w:textDirection w:val="lrTb"/>
            <w:noWrap w:val="false"/>
          </w:tcPr>
          <w:p>
            <w:pPr>
              <w:pStyle w:val="109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技术证书、级别</w:t>
            </w:r>
            <w:r>
              <w:rPr>
                <w:highlight w:val="none"/>
              </w:rPr>
            </w:r>
            <w:r/>
          </w:p>
        </w:tc>
        <w:tc>
          <w:tcPr>
            <w:tcW w:w="1968" w:type="dxa"/>
            <w:textDirection w:val="lrTb"/>
            <w:noWrap w:val="false"/>
          </w:tcPr>
          <w:p>
            <w:pPr>
              <w:pStyle w:val="109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相关工作经验</w:t>
            </w:r>
            <w:r>
              <w:rPr>
                <w:highlight w:val="none"/>
              </w:rPr>
            </w:r>
            <w:r/>
          </w:p>
        </w:tc>
        <w:tc>
          <w:tcPr>
            <w:tcW w:w="918" w:type="dxa"/>
            <w:textDirection w:val="lrTb"/>
            <w:noWrap w:val="false"/>
          </w:tcPr>
          <w:p>
            <w:pPr>
              <w:pStyle w:val="109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备注</w:t>
            </w:r>
            <w:r>
              <w:rPr>
                <w:highlight w:val="none"/>
              </w:rPr>
            </w:r>
            <w:r/>
          </w:p>
        </w:tc>
      </w:tr>
      <w:tr>
        <w:trPr/>
        <w:tc>
          <w:tcPr>
            <w:tcW w:w="789"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919"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575"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443"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70"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6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91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r>
      <w:tr>
        <w:trPr/>
        <w:tc>
          <w:tcPr>
            <w:tcW w:w="789"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919"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575"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443"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70"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6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91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r>
      <w:tr>
        <w:trPr/>
        <w:tc>
          <w:tcPr>
            <w:tcW w:w="789"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919"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575"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443"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70"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6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91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r>
      <w:tr>
        <w:trPr/>
        <w:tc>
          <w:tcPr>
            <w:tcW w:w="789" w:type="dxa"/>
            <w:textDirection w:val="lrTb"/>
            <w:noWrap w:val="false"/>
          </w:tcPr>
          <w:p>
            <w:pPr>
              <w:pStyle w:val="1092"/>
              <w:spacing w:line="360" w:lineRule="auto"/>
              <w:rPr>
                <w:rFonts w:hint="eastAsia" w:ascii="宋体" w:hAnsi="宋体"/>
                <w:b/>
                <w:color w:val="auto"/>
                <w:sz w:val="18"/>
                <w:szCs w:val="18"/>
                <w:highlight w:val="none"/>
              </w:rPr>
            </w:pPr>
            <w:r>
              <w:rPr>
                <w:rFonts w:hint="eastAsia" w:ascii="宋体" w:hAnsi="宋体"/>
                <w:b/>
                <w:color w:val="auto"/>
                <w:sz w:val="18"/>
                <w:szCs w:val="18"/>
                <w:highlight w:val="none"/>
              </w:rPr>
            </w:r>
            <w:r>
              <w:rPr>
                <w:highlight w:val="none"/>
              </w:rPr>
            </w:r>
            <w:r/>
          </w:p>
        </w:tc>
        <w:tc>
          <w:tcPr>
            <w:tcW w:w="919"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575"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443"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70"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6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91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r>
      <w:tr>
        <w:trPr/>
        <w:tc>
          <w:tcPr>
            <w:tcW w:w="789"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919"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575"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443"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70"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6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91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r>
      <w:tr>
        <w:trPr/>
        <w:tc>
          <w:tcPr>
            <w:tcW w:w="789"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919"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575"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443"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70"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196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c>
          <w:tcPr>
            <w:tcW w:w="918" w:type="dxa"/>
            <w:textDirection w:val="lrTb"/>
            <w:noWrap w:val="false"/>
          </w:tcPr>
          <w:p>
            <w:pPr>
              <w:pStyle w:val="1092"/>
              <w:spacing w:line="360" w:lineRule="auto"/>
              <w:rPr>
                <w:rFonts w:hint="eastAsia" w:ascii="宋体" w:hAnsi="宋体"/>
                <w:b/>
                <w:color w:val="auto"/>
                <w:sz w:val="24"/>
                <w:highlight w:val="none"/>
              </w:rPr>
            </w:pPr>
            <w:r>
              <w:rPr>
                <w:rFonts w:hint="eastAsia" w:ascii="宋体" w:hAnsi="宋体"/>
                <w:b/>
                <w:color w:val="auto"/>
                <w:sz w:val="24"/>
                <w:highlight w:val="none"/>
              </w:rPr>
            </w:r>
            <w:r>
              <w:rPr>
                <w:highlight w:val="none"/>
              </w:rPr>
            </w:r>
            <w:r/>
          </w:p>
        </w:tc>
      </w:tr>
    </w:tbl>
    <w:p>
      <w:pPr>
        <w:pStyle w:val="1092"/>
        <w:ind w:firstLine="480"/>
        <w:spacing w:before="120" w:line="360" w:lineRule="auto"/>
        <w:rPr>
          <w:rFonts w:hint="eastAsia" w:ascii="宋体" w:hAnsi="宋体"/>
          <w:color w:val="auto"/>
          <w:sz w:val="24"/>
          <w:szCs w:val="20"/>
          <w:highlight w:val="none"/>
          <w:u w:val="single"/>
        </w:rPr>
      </w:pPr>
      <w:r>
        <w:rPr>
          <w:rFonts w:hint="eastAsia" w:ascii="宋体" w:hAnsi="宋体"/>
          <w:color w:val="auto"/>
          <w:sz w:val="24"/>
          <w:szCs w:val="20"/>
          <w:highlight w:val="none"/>
          <w:u w:val="single"/>
        </w:rPr>
        <w:t xml:space="preserve">注：1、行数不够，请自行添加。</w:t>
      </w:r>
      <w:r>
        <w:rPr>
          <w:highlight w:val="none"/>
        </w:rPr>
      </w:r>
      <w:r/>
    </w:p>
    <w:p>
      <w:pPr>
        <w:pStyle w:val="1092"/>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2、列入本表人员如要更换，须经采购人同意，擅自更换属违约行为。</w:t>
      </w:r>
      <w:r>
        <w:rPr>
          <w:highlight w:val="none"/>
        </w:rPr>
      </w:r>
      <w:r/>
    </w:p>
    <w:p>
      <w:pPr>
        <w:pStyle w:val="1092"/>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3、列入上表人员具有相关资质、职称证书、工作经验的，应在本栏目提交相关证书或证明材料</w:t>
      </w:r>
      <w:r>
        <w:rPr>
          <w:rFonts w:hint="eastAsia" w:ascii="宋体" w:hAnsi="宋体"/>
          <w:color w:val="auto"/>
          <w:sz w:val="24"/>
          <w:szCs w:val="20"/>
          <w:highlight w:val="none"/>
          <w:u w:val="single"/>
        </w:rPr>
        <w:t xml:space="preserve">扫描件</w:t>
      </w:r>
      <w:r>
        <w:rPr>
          <w:rFonts w:hint="eastAsia" w:ascii="宋体" w:hAnsi="宋体"/>
          <w:color w:val="auto"/>
          <w:sz w:val="24"/>
          <w:highlight w:val="none"/>
          <w:u w:val="single"/>
        </w:rPr>
        <w:t xml:space="preserve">。</w:t>
      </w:r>
      <w:r>
        <w:rPr>
          <w:highlight w:val="none"/>
        </w:rPr>
      </w:r>
      <w:r/>
    </w:p>
    <w:p>
      <w:pPr>
        <w:pStyle w:val="1090"/>
        <w:ind w:firstLine="480"/>
        <w:spacing w:line="360" w:lineRule="auto"/>
        <w:rPr>
          <w:rFonts w:hint="eastAsia" w:ascii="宋体" w:hAnsi="宋体"/>
          <w:bCs/>
          <w:color w:val="auto"/>
          <w:sz w:val="24"/>
          <w:szCs w:val="20"/>
          <w:highlight w:val="none"/>
          <w:u w:val="single"/>
        </w:rPr>
      </w:pPr>
      <w:r>
        <w:rPr>
          <w:rFonts w:hint="eastAsia" w:ascii="宋体" w:hAnsi="宋体"/>
          <w:bCs/>
          <w:color w:val="auto"/>
          <w:sz w:val="24"/>
          <w:szCs w:val="20"/>
          <w:highlight w:val="none"/>
          <w:u w:val="single"/>
        </w:rPr>
      </w:r>
      <w:r>
        <w:rPr>
          <w:highlight w:val="none"/>
        </w:rPr>
      </w:r>
      <w:r/>
    </w:p>
    <w:p>
      <w:pPr>
        <w:pStyle w:val="1092"/>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r>
      <w:r>
        <w:rPr>
          <w:highlight w:val="none"/>
        </w:rPr>
      </w:r>
      <w:r/>
    </w:p>
    <w:p>
      <w:pPr>
        <w:pStyle w:val="1092"/>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r>
      <w:r>
        <w:rPr>
          <w:highlight w:val="none"/>
        </w:rPr>
      </w:r>
      <w:r/>
    </w:p>
    <w:p>
      <w:pPr>
        <w:pStyle w:val="1092"/>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highlight w:val="none"/>
        </w:rPr>
      </w:r>
      <w:r/>
    </w:p>
    <w:p>
      <w:pPr>
        <w:pStyle w:val="1092"/>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r>
      <w:r>
        <w:rPr>
          <w:highlight w:val="none"/>
        </w:rPr>
      </w:r>
      <w:r/>
    </w:p>
    <w:p>
      <w:pPr>
        <w:pStyle w:val="1092"/>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r>
      <w:r>
        <w:rPr>
          <w:highlight w:val="none"/>
        </w:rPr>
      </w:r>
      <w:r/>
    </w:p>
    <w:p>
      <w:pPr>
        <w:pStyle w:val="1092"/>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r>
      <w:r>
        <w:rPr>
          <w:highlight w:val="none"/>
        </w:rPr>
      </w:r>
      <w:r/>
    </w:p>
    <w:p>
      <w:pPr>
        <w:pStyle w:val="1092"/>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r>
      <w:r>
        <w:rPr>
          <w:highlight w:val="none"/>
        </w:rPr>
      </w:r>
      <w:r/>
    </w:p>
    <w:p>
      <w:pPr>
        <w:pStyle w:val="1093"/>
        <w:jc w:val="both"/>
        <w:rPr>
          <w:rFonts w:hint="eastAsia" w:ascii="宋体" w:hAnsi="宋体" w:eastAsia="宋体" w:cs="宋体"/>
          <w:color w:val="auto"/>
          <w:sz w:val="28"/>
          <w:highlight w:val="none"/>
        </w:rPr>
        <w:outlineLvl w:val="2"/>
      </w:pPr>
      <w:r>
        <w:rPr>
          <w:highlight w:val="none"/>
        </w:rPr>
      </w:r>
      <w:bookmarkStart w:id="975" w:name="_Toc256000085"/>
      <w:r>
        <w:rPr>
          <w:highlight w:val="none"/>
        </w:rPr>
      </w:r>
      <w:r/>
    </w:p>
    <w:p>
      <w:pPr>
        <w:pStyle w:val="1093"/>
        <w:jc w:val="both"/>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r>
      <w:r>
        <w:rPr>
          <w:highlight w:val="none"/>
        </w:rPr>
      </w:r>
      <w:r/>
    </w:p>
    <w:p>
      <w:pPr>
        <w:pStyle w:val="1093"/>
        <w:jc w:val="both"/>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r>
      <w:r>
        <w:rPr>
          <w:highlight w:val="none"/>
        </w:rPr>
      </w:r>
      <w:r/>
    </w:p>
    <w:p>
      <w:pPr>
        <w:pStyle w:val="1093"/>
        <w:jc w:val="both"/>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r>
      <w:r>
        <w:rPr>
          <w:highlight w:val="none"/>
        </w:rPr>
      </w:r>
      <w:r/>
    </w:p>
    <w:p>
      <w:pPr>
        <w:pStyle w:val="1093"/>
        <w:jc w:val="both"/>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r>
      <w:r>
        <w:rPr>
          <w:highlight w:val="none"/>
        </w:rPr>
      </w:r>
      <w:r/>
    </w:p>
    <w:p>
      <w:pPr>
        <w:pStyle w:val="1093"/>
        <w:jc w:val="both"/>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r>
      <w:r>
        <w:rPr>
          <w:highlight w:val="none"/>
        </w:rPr>
      </w:r>
      <w:r/>
    </w:p>
    <w:p>
      <w:pPr>
        <w:pStyle w:val="1093"/>
        <w:jc w:val="both"/>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r>
      <w:r>
        <w:rPr>
          <w:highlight w:val="none"/>
        </w:rPr>
      </w:r>
      <w:r/>
    </w:p>
    <w:p>
      <w:pPr>
        <w:pStyle w:val="1093"/>
        <w:jc w:val="both"/>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r>
      <w:r>
        <w:rPr>
          <w:highlight w:val="none"/>
        </w:rPr>
      </w:r>
      <w:r/>
    </w:p>
    <w:p>
      <w:pPr>
        <w:pStyle w:val="1093"/>
        <w:jc w:val="both"/>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r>
      <w:r>
        <w:rPr>
          <w:highlight w:val="none"/>
        </w:rPr>
      </w:r>
      <w:r/>
    </w:p>
    <w:p>
      <w:pPr>
        <w:pStyle w:val="1093"/>
        <w:jc w:val="both"/>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r>
      <w:r>
        <w:rPr>
          <w:highlight w:val="none"/>
        </w:rPr>
      </w:r>
      <w:r/>
    </w:p>
    <w:p>
      <w:pPr>
        <w:pStyle w:val="1093"/>
        <w:jc w:val="both"/>
        <w:rPr>
          <w:rFonts w:hint="eastAsia" w:ascii="宋体" w:hAnsi="宋体" w:eastAsia="宋体" w:cs="宋体"/>
          <w:color w:val="auto"/>
          <w:sz w:val="28"/>
          <w:highlight w:val="none"/>
        </w:rPr>
        <w:outlineLvl w:val="2"/>
      </w:pPr>
      <w:r>
        <w:rPr>
          <w:rFonts w:hint="eastAsia" w:ascii="宋体" w:hAnsi="宋体" w:eastAsia="宋体" w:cs="宋体"/>
          <w:color w:val="auto"/>
          <w:sz w:val="28"/>
          <w:highlight w:val="none"/>
        </w:rPr>
      </w:r>
      <w:r>
        <w:rPr>
          <w:highlight w:val="none"/>
        </w:rPr>
      </w:r>
      <w:r/>
    </w:p>
    <w:p>
      <w:pPr>
        <w:pStyle w:val="1093"/>
        <w:jc w:val="center"/>
        <w:rPr>
          <w:rFonts w:hint="eastAsia" w:eastAsia="宋体"/>
          <w:color w:val="auto"/>
          <w:highlight w:val="none"/>
        </w:rPr>
        <w:outlineLvl w:val="2"/>
      </w:pPr>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四</w:t>
      </w:r>
      <w:r>
        <w:rPr>
          <w:rFonts w:ascii="宋体" w:hAnsi="宋体" w:eastAsia="宋体" w:cs="宋体"/>
          <w:color w:val="auto"/>
          <w:sz w:val="28"/>
          <w:highlight w:val="none"/>
        </w:rPr>
        <w:t xml:space="preserve">) </w:t>
      </w:r>
      <w:r>
        <w:rPr>
          <w:rFonts w:hint="eastAsia" w:ascii="宋体" w:hAnsi="宋体" w:eastAsia="宋体" w:cs="宋体"/>
          <w:color w:val="auto"/>
          <w:sz w:val="28"/>
          <w:highlight w:val="none"/>
        </w:rPr>
        <w:t xml:space="preserve">磋商</w:t>
      </w:r>
      <w:r>
        <w:rPr>
          <w:rFonts w:ascii="宋体" w:hAnsi="宋体" w:eastAsia="宋体" w:cs="宋体"/>
          <w:color w:val="auto"/>
          <w:sz w:val="28"/>
          <w:highlight w:val="none"/>
        </w:rPr>
        <w:t xml:space="preserve">报价表</w:t>
      </w:r>
      <w:bookmarkEnd w:id="975"/>
      <w:r>
        <w:rPr>
          <w:rFonts w:hint="eastAsia" w:ascii="宋体" w:hAnsi="宋体" w:eastAsia="宋体" w:cs="宋体"/>
          <w:color w:val="auto"/>
          <w:sz w:val="28"/>
          <w:highlight w:val="none"/>
          <w:lang w:eastAsia="zh-CN"/>
        </w:rPr>
        <w:t xml:space="preserve">（以系统中报价表为准）</w:t>
      </w:r>
      <w:r>
        <w:rPr>
          <w:highlight w:val="none"/>
        </w:rPr>
      </w:r>
      <w:r/>
    </w:p>
    <w:p>
      <w:pPr>
        <w:pStyle w:val="1094"/>
        <w:rPr>
          <w:color w:val="auto"/>
          <w:highlight w:val="none"/>
        </w:rPr>
      </w:pPr>
      <w:r>
        <w:rPr>
          <w:rFonts w:ascii="宋体" w:hAnsi="宋体" w:eastAsia="宋体" w:cs="宋体"/>
          <w:color w:val="auto"/>
          <w:highlight w:val="none"/>
        </w:rPr>
        <w:t xml:space="preserve">﻿ </w:t>
      </w:r>
      <w:r>
        <w:rPr>
          <w:highlight w:val="none"/>
        </w:rPr>
      </w:r>
      <w:r/>
    </w:p>
    <w:p>
      <w:pPr>
        <w:spacing w:before="100" w:beforeAutospacing="1" w:after="100" w:afterAutospacing="1"/>
        <w:widowControl/>
        <w:rPr>
          <w:rFonts w:hint="eastAsia" w:ascii="宋体" w:hAnsi="宋体" w:cs="宋体"/>
          <w:color w:val="auto"/>
          <w:sz w:val="24"/>
          <w:szCs w:val="24"/>
          <w:highlight w:val="none"/>
        </w:rPr>
      </w:pPr>
      <w:r>
        <w:rPr>
          <w:rFonts w:ascii="宋体" w:hAnsi="宋体" w:cs="宋体"/>
          <w:b/>
          <w:bCs/>
          <w:color w:val="auto"/>
          <w:sz w:val="24"/>
          <w:szCs w:val="24"/>
          <w:highlight w:val="none"/>
        </w:rPr>
        <w:t xml:space="preserve">本次为首次报价</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货币单位：人民币元</w:t>
      </w:r>
      <w:r>
        <w:rPr>
          <w:highlight w:val="none"/>
        </w:rPr>
      </w:r>
      <w:r/>
    </w:p>
    <w:p>
      <w:pPr>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项目编号：</w:t>
      </w:r>
      <w:r>
        <w:rPr>
          <w:highlight w:val="none"/>
        </w:rPr>
      </w:r>
      <w:r/>
    </w:p>
    <w:tbl>
      <w:tblPr>
        <w:tblStyle w:val="781"/>
        <w:tblW w:w="941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val="false"/>
          </w:tcPr>
          <w:p>
            <w:pPr>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项目名称</w:t>
            </w:r>
            <w:r>
              <w:rPr>
                <w:highlight w:val="none"/>
              </w:rPr>
            </w:r>
            <w:r/>
          </w:p>
        </w:tc>
        <w:tc>
          <w:tcPr>
            <w:tcW w:w="2192" w:type="dxa"/>
            <w:vAlign w:val="center"/>
            <w:textDirection w:val="lrTb"/>
            <w:noWrap w:val="false"/>
          </w:tcPr>
          <w:p>
            <w:pPr>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项目内容</w:t>
            </w:r>
            <w:r>
              <w:rPr>
                <w:highlight w:val="none"/>
              </w:rPr>
            </w:r>
            <w:r/>
          </w:p>
        </w:tc>
        <w:tc>
          <w:tcPr>
            <w:tcW w:w="4856" w:type="dxa"/>
            <w:vAlign w:val="center"/>
            <w:textDirection w:val="lrTb"/>
            <w:noWrap w:val="false"/>
          </w:tcPr>
          <w:p>
            <w:pPr>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总价（小写）</w:t>
            </w:r>
            <w:r>
              <w:rPr>
                <w:highlight w:val="none"/>
              </w:rPr>
            </w:r>
            <w:r/>
          </w:p>
        </w:tc>
      </w:tr>
      <w:tr>
        <w:trPr>
          <w:trHeight w:val="1229"/>
        </w:trPr>
        <w:tc>
          <w:tcPr>
            <w:tcW w:w="2363" w:type="dxa"/>
            <w:vAlign w:val="center"/>
            <w:textDirection w:val="lrTb"/>
            <w:noWrap w:val="false"/>
          </w:tcPr>
          <w:p>
            <w:pP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tc>
        <w:tc>
          <w:tcPr>
            <w:tcW w:w="2192" w:type="dxa"/>
            <w:vAlign w:val="center"/>
            <w:textDirection w:val="lrTb"/>
            <w:noWrap w:val="false"/>
          </w:tcPr>
          <w:p>
            <w:pPr>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详见响应文件</w:t>
            </w:r>
            <w:r>
              <w:rPr>
                <w:highlight w:val="none"/>
              </w:rPr>
            </w:r>
            <w:r/>
          </w:p>
        </w:tc>
        <w:tc>
          <w:tcPr>
            <w:tcW w:w="4856" w:type="dxa"/>
            <w:vAlign w:val="center"/>
            <w:textDirection w:val="lrTb"/>
            <w:noWrap w:val="false"/>
          </w:tcPr>
          <w:p>
            <w:pPr>
              <w:ind w:firstLine="1200"/>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元</w:t>
            </w:r>
            <w:r>
              <w:rPr>
                <w:highlight w:val="none"/>
              </w:rPr>
            </w:r>
            <w:r/>
          </w:p>
        </w:tc>
      </w:tr>
      <w:tr>
        <w:trPr>
          <w:trHeight w:val="1538"/>
        </w:trPr>
        <w:tc>
          <w:tcPr>
            <w:tcW w:w="2363" w:type="dxa"/>
            <w:vAlign w:val="center"/>
            <w:textDirection w:val="lrTb"/>
            <w:noWrap w:val="false"/>
          </w:tcPr>
          <w:p>
            <w:pPr>
              <w:spacing w:before="100" w:beforeAutospacing="1" w:after="100" w:afterAutospacing="1"/>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总价（大写）：</w:t>
            </w:r>
            <w:r>
              <w:rPr>
                <w:highlight w:val="none"/>
              </w:rPr>
            </w:r>
            <w:r/>
          </w:p>
        </w:tc>
        <w:tc>
          <w:tcPr>
            <w:gridSpan w:val="2"/>
            <w:tcW w:w="7048" w:type="dxa"/>
            <w:vAlign w:val="center"/>
            <w:textDirection w:val="lrTb"/>
            <w:noWrap w:val="false"/>
          </w:tcPr>
          <w:p>
            <w:pP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tc>
      </w:tr>
      <w:tr>
        <w:trPr>
          <w:trHeight w:val="1538"/>
        </w:trPr>
        <w:tc>
          <w:tcPr>
            <w:tcW w:w="2363" w:type="dxa"/>
            <w:vAlign w:val="center"/>
            <w:textDirection w:val="lrTb"/>
            <w:noWrap w:val="false"/>
          </w:tcPr>
          <w:p>
            <w:pP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合同履行期限</w:t>
            </w:r>
            <w:r>
              <w:rPr>
                <w:highlight w:val="none"/>
              </w:rPr>
            </w:r>
            <w:r/>
          </w:p>
        </w:tc>
        <w:tc>
          <w:tcPr>
            <w:gridSpan w:val="2"/>
            <w:tcW w:w="7048" w:type="dxa"/>
            <w:vAlign w:val="center"/>
            <w:textDirection w:val="lrTb"/>
            <w:noWrap w:val="false"/>
          </w:tcPr>
          <w:p>
            <w:pP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r/>
          </w:p>
        </w:tc>
      </w:tr>
    </w:tbl>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报价说明：</w:t>
      </w:r>
      <w:r>
        <w:rPr>
          <w:highlight w:val="none"/>
        </w:rPr>
      </w:r>
      <w:r/>
    </w:p>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1、报价包括完成项目的所有费用。采购人不再支付报价以外的任何费用。</w:t>
      </w:r>
      <w:r>
        <w:rPr>
          <w:highlight w:val="none"/>
        </w:rPr>
      </w:r>
      <w:r/>
    </w:p>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2、报价以总价为准，大小写不一致以大写为准；</w:t>
      </w:r>
      <w:r>
        <w:rPr>
          <w:highlight w:val="none"/>
        </w:rPr>
      </w:r>
      <w:r/>
    </w:p>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3、如最后报价未列明单价，则最后所报各项单价计算方法为：（最后报价/最初报价）*各项最初报价的单价。</w:t>
      </w:r>
      <w:r>
        <w:rPr>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响应单位（公章）：</w:t>
      </w:r>
      <w:r>
        <w:rPr>
          <w:highlight w:val="none"/>
        </w:rPr>
      </w:r>
      <w:r/>
    </w:p>
    <w:p>
      <w:pPr>
        <w:jc w:val="center"/>
        <w:spacing w:line="360" w:lineRule="auto"/>
        <w:rPr>
          <w:color w:val="auto"/>
          <w:highlight w:val="none"/>
        </w:rPr>
      </w:pPr>
      <w:r>
        <w:rPr>
          <w:rFonts w:ascii="宋体" w:hAnsi="宋体"/>
          <w:color w:val="auto"/>
          <w:sz w:val="24"/>
          <w:szCs w:val="24"/>
          <w:highlight w:val="none"/>
        </w:rPr>
        <w:br w:type="page" w:clear="all"/>
      </w:r>
      <w:bookmarkStart w:id="976" w:name="_Toc29659"/>
      <w:r>
        <w:rPr>
          <w:highlight w:val="none"/>
        </w:rPr>
      </w:r>
      <w:bookmarkStart w:id="977" w:name="_Toc29264"/>
      <w:r>
        <w:rPr>
          <w:highlight w:val="none"/>
        </w:rPr>
      </w:r>
      <w:bookmarkStart w:id="978" w:name="_Toc256000088"/>
      <w:r>
        <w:rPr>
          <w:rFonts w:hint="eastAsia" w:ascii="宋体" w:hAnsi="宋体"/>
          <w:color w:val="auto"/>
          <w:sz w:val="24"/>
          <w:szCs w:val="24"/>
          <w:highlight w:val="none"/>
        </w:rPr>
        <w:t xml:space="preserve">（五）</w:t>
      </w:r>
      <w:r>
        <w:rPr>
          <w:rFonts w:hint="eastAsia" w:ascii="宋体" w:hAnsi="宋体" w:cs="宋体"/>
          <w:color w:val="auto"/>
          <w:sz w:val="28"/>
          <w:highlight w:val="none"/>
        </w:rPr>
        <w:t xml:space="preserve">首次</w:t>
      </w:r>
      <w:r>
        <w:rPr>
          <w:rFonts w:ascii="宋体" w:hAnsi="宋体" w:cs="宋体"/>
          <w:color w:val="auto"/>
          <w:sz w:val="28"/>
          <w:highlight w:val="none"/>
        </w:rPr>
        <w:t xml:space="preserve">报价</w:t>
      </w:r>
      <w:r>
        <w:rPr>
          <w:rFonts w:hint="eastAsia" w:ascii="宋体" w:hAnsi="宋体" w:cs="宋体"/>
          <w:color w:val="auto"/>
          <w:sz w:val="28"/>
          <w:highlight w:val="none"/>
        </w:rPr>
        <w:t xml:space="preserve">（</w:t>
      </w:r>
      <w:r>
        <w:rPr>
          <w:rFonts w:ascii="宋体" w:hAnsi="宋体" w:cs="宋体"/>
          <w:color w:val="auto"/>
          <w:sz w:val="28"/>
          <w:highlight w:val="none"/>
        </w:rPr>
        <w:t xml:space="preserve">已标价工程量清单</w:t>
      </w:r>
      <w:bookmarkEnd w:id="976"/>
      <w:r>
        <w:rPr>
          <w:highlight w:val="none"/>
        </w:rPr>
      </w:r>
      <w:bookmarkEnd w:id="977"/>
      <w:r>
        <w:rPr>
          <w:rFonts w:hint="eastAsia" w:ascii="宋体" w:hAnsi="宋体" w:cs="宋体"/>
          <w:color w:val="auto"/>
          <w:sz w:val="28"/>
          <w:highlight w:val="none"/>
        </w:rPr>
        <w:t xml:space="preserve">）</w:t>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rPr>
          <w:rFonts w:eastAsia="宋体"/>
          <w:color w:val="auto"/>
          <w:highlight w:val="none"/>
        </w:rPr>
        <w:outlineLvl w:val="2"/>
      </w:pPr>
      <w:r>
        <w:rPr>
          <w:rFonts w:eastAsia="宋体"/>
          <w:color w:val="auto"/>
          <w:highlight w:val="none"/>
        </w:rPr>
      </w:r>
      <w:r>
        <w:rPr>
          <w:highlight w:val="none"/>
        </w:rPr>
      </w:r>
      <w:r/>
    </w:p>
    <w:p>
      <w:pPr>
        <w:pStyle w:val="1095"/>
        <w:jc w:val="center"/>
        <w:rPr>
          <w:rFonts w:ascii="宋体" w:hAnsi="宋体" w:cs="宋体"/>
          <w:color w:val="auto"/>
          <w:sz w:val="28"/>
          <w:highlight w:val="none"/>
        </w:rPr>
        <w:outlineLvl w:val="2"/>
      </w:pPr>
      <w:r>
        <w:rPr>
          <w:rFonts w:ascii="宋体" w:hAnsi="宋体" w:eastAsia="宋体" w:cs="宋体"/>
          <w:color w:val="auto"/>
          <w:sz w:val="32"/>
          <w:highlight w:val="none"/>
        </w:rPr>
        <w:t xml:space="preserve">四、</w:t>
      </w:r>
      <w:bookmarkEnd w:id="960"/>
      <w:r>
        <w:rPr>
          <w:highlight w:val="none"/>
        </w:rPr>
      </w:r>
      <w:bookmarkEnd w:id="978"/>
      <w:r>
        <w:rPr>
          <w:rFonts w:ascii="宋体" w:hAnsi="宋体" w:cs="宋体"/>
          <w:color w:val="auto"/>
          <w:sz w:val="28"/>
          <w:highlight w:val="none"/>
        </w:rPr>
        <w:t xml:space="preserve">按磋商文件要求供应商所能提供的其他文件</w:t>
      </w:r>
      <w:r>
        <w:rPr>
          <w:highlight w:val="none"/>
        </w:rPr>
      </w:r>
      <w:r/>
    </w:p>
    <w:sectPr>
      <w:footnotePr/>
      <w:endnotePr/>
      <w:type w:val="nextPage"/>
      <w:pgSz w:w="11906" w:h="16838" w:orient="portrait"/>
      <w:pgMar w:top="1440" w:right="1270" w:bottom="1440" w:left="127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Cambria">
    <w:panose1 w:val="02040503050406030204"/>
  </w:font>
  <w:font w:name="StarSymbol">
    <w:panose1 w:val="020B0503020202020204"/>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fldChar w:fldCharType="begin"/>
    </w:r>
    <w:r>
      <w:instrText xml:space="preserve"> PAGE   \* MERGEFORMAT </w:instrText>
    </w:r>
    <w:r>
      <w:fldChar w:fldCharType="separate"/>
    </w:r>
    <w:r>
      <w:rPr>
        <w:lang w:val="zh-CN"/>
      </w:rPr>
      <w:t xml:space="preserve">51</w:t>
    </w:r>
    <w:r>
      <w:fldChar w:fldCharType="end"/>
    </w:r>
    <w:r/>
  </w:p>
  <w:p>
    <w:pPr>
      <w:pStyle w:val="10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fldChar w:fldCharType="begin"/>
    </w:r>
    <w:r>
      <w:instrText xml:space="preserve"> PAGE   \* MERGEFORMAT </w:instrText>
    </w:r>
    <w:r>
      <w:fldChar w:fldCharType="separate"/>
    </w:r>
    <w:r>
      <w:rPr>
        <w:lang w:val="zh-CN"/>
      </w:rPr>
      <w:t xml:space="preserve">1</w:t>
    </w:r>
    <w:r>
      <w:fldChar w:fldCharType="end"/>
    </w:r>
    <w:r/>
  </w:p>
  <w:p>
    <w:pPr>
      <w:pStyle w:val="10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tabs>
        <w:tab w:val="center" w:pos="4153" w:leader="none"/>
        <w:tab w:val="clear" w:pos="7143" w:leader="none"/>
        <w:tab w:val="right" w:pos="8306" w:leader="none"/>
        <w:tab w:val="clear" w:pos="14287" w:leader="none"/>
      </w:tabs>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93</w:t>
    </w:r>
    <w:r>
      <w:rPr>
        <w:lang w:val="zh-CN"/>
      </w:rPr>
      <w:fldChar w:fldCharType="end"/>
    </w:r>
    <w:r/>
  </w:p>
  <w:p>
    <w:pPr>
      <w:pStyle w:val="103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fldChar w:fldCharType="begin"/>
    </w:r>
    <w:r>
      <w:rPr>
        <w:rStyle w:val="1041"/>
        <w:highlight w:val="white"/>
      </w:rPr>
      <w:instrText xml:space="preserve"> PAGE </w:instrText>
    </w:r>
    <w:r>
      <w:fldChar w:fldCharType="separate"/>
    </w:r>
    <w:r>
      <w:rPr>
        <w:rStyle w:val="1041"/>
        <w:highlight w:val="white"/>
      </w:rPr>
      <w:t xml:space="preserve">75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51"/>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050"/>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8"/>
  </w:num>
  <w:num w:numId="7">
    <w:abstractNumId w:val="7"/>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szCs w:val="22"/>
    </w:rPr>
  </w:style>
  <w:style w:type="paragraph" w:styleId="771">
    <w:name w:val="Heading 1"/>
    <w:basedOn w:val="770"/>
    <w:next w:val="770"/>
    <w:link w:val="816"/>
    <w:uiPriority w:val="0"/>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17"/>
    <w:uiPriority w:val="9"/>
    <w:qFormat/>
    <w:pPr>
      <w:keepLines/>
      <w:keepNext/>
      <w:spacing w:before="360" w:after="200"/>
      <w:outlineLvl w:val="1"/>
    </w:pPr>
    <w:rPr>
      <w:rFonts w:ascii="Arial" w:hAnsi="Arial" w:eastAsia="Arial" w:cs="Arial"/>
      <w:sz w:val="34"/>
    </w:rPr>
  </w:style>
  <w:style w:type="paragraph" w:styleId="773">
    <w:name w:val="Heading 3"/>
    <w:basedOn w:val="770"/>
    <w:next w:val="770"/>
    <w:link w:val="818"/>
    <w:uiPriority w:val="0"/>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19"/>
    <w:uiPriority w:val="0"/>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20"/>
    <w:uiPriority w:val="9"/>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21"/>
    <w:uiPriority w:val="9"/>
    <w:qFormat/>
    <w:pPr>
      <w:keepLines/>
      <w:keepNext/>
      <w:spacing w:before="320" w:after="200"/>
      <w:outlineLvl w:val="5"/>
    </w:pPr>
    <w:rPr>
      <w:rFonts w:ascii="Arial" w:hAnsi="Arial" w:eastAsia="Arial" w:cs="Arial"/>
      <w:b/>
      <w:bCs/>
      <w:sz w:val="22"/>
    </w:rPr>
  </w:style>
  <w:style w:type="paragraph" w:styleId="777">
    <w:name w:val="Heading 7"/>
    <w:basedOn w:val="770"/>
    <w:next w:val="770"/>
    <w:link w:val="822"/>
    <w:uiPriority w:val="9"/>
    <w:qFormat/>
    <w:pPr>
      <w:keepLines/>
      <w:keepNext/>
      <w:spacing w:before="320" w:after="200"/>
      <w:outlineLvl w:val="6"/>
    </w:pPr>
    <w:rPr>
      <w:rFonts w:ascii="Arial" w:hAnsi="Arial" w:eastAsia="Arial" w:cs="Arial"/>
      <w:b/>
      <w:bCs/>
      <w:i/>
      <w:iCs/>
      <w:sz w:val="22"/>
    </w:rPr>
  </w:style>
  <w:style w:type="paragraph" w:styleId="778">
    <w:name w:val="Heading 8"/>
    <w:basedOn w:val="770"/>
    <w:next w:val="770"/>
    <w:link w:val="823"/>
    <w:uiPriority w:val="9"/>
    <w:qFormat/>
    <w:pPr>
      <w:keepLines/>
      <w:keepNext/>
      <w:spacing w:before="320" w:after="200"/>
      <w:outlineLvl w:val="7"/>
    </w:pPr>
    <w:rPr>
      <w:rFonts w:ascii="Arial" w:hAnsi="Arial" w:eastAsia="Arial" w:cs="Arial"/>
      <w:i/>
      <w:iCs/>
      <w:sz w:val="22"/>
    </w:rPr>
  </w:style>
  <w:style w:type="paragraph" w:styleId="779">
    <w:name w:val="Heading 9"/>
    <w:basedOn w:val="770"/>
    <w:next w:val="770"/>
    <w:link w:val="824"/>
    <w:uiPriority w:val="9"/>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Caption"/>
    <w:basedOn w:val="770"/>
    <w:next w:val="770"/>
    <w:uiPriority w:val="35"/>
    <w:qFormat/>
    <w:pPr>
      <w:spacing w:line="276" w:lineRule="auto"/>
    </w:pPr>
    <w:rPr>
      <w:b/>
      <w:bCs/>
      <w:color w:val="4f81bd"/>
      <w:sz w:val="18"/>
      <w:szCs w:val="18"/>
    </w:rPr>
  </w:style>
  <w:style w:type="paragraph" w:styleId="784">
    <w:name w:val="annotation text"/>
    <w:basedOn w:val="770"/>
    <w:link w:val="825"/>
    <w:uiPriority w:val="0"/>
    <w:qFormat/>
    <w:pPr>
      <w:jc w:val="left"/>
    </w:pPr>
    <w:rPr>
      <w:rFonts w:ascii="Calibri" w:hAnsi="Calibri"/>
    </w:rPr>
  </w:style>
  <w:style w:type="paragraph" w:styleId="785">
    <w:name w:val="Body Text"/>
    <w:basedOn w:val="770"/>
    <w:uiPriority w:val="0"/>
    <w:qFormat/>
    <w:rPr>
      <w:rFonts w:ascii="楷体_GB2312" w:hAnsi="Arial" w:eastAsia="楷体_GB2312"/>
      <w:sz w:val="28"/>
      <w:szCs w:val="20"/>
    </w:rPr>
  </w:style>
  <w:style w:type="paragraph" w:styleId="786">
    <w:name w:val="toc 5"/>
    <w:basedOn w:val="770"/>
    <w:next w:val="770"/>
    <w:uiPriority w:val="39"/>
    <w:unhideWhenUsed/>
    <w:qFormat/>
    <w:pPr>
      <w:ind w:left="1134"/>
      <w:spacing w:after="57"/>
    </w:pPr>
  </w:style>
  <w:style w:type="paragraph" w:styleId="787">
    <w:name w:val="toc 3"/>
    <w:basedOn w:val="770"/>
    <w:next w:val="770"/>
    <w:uiPriority w:val="39"/>
    <w:unhideWhenUsed/>
    <w:qFormat/>
    <w:pPr>
      <w:ind w:left="567"/>
      <w:spacing w:after="57"/>
    </w:pPr>
  </w:style>
  <w:style w:type="paragraph" w:styleId="788">
    <w:name w:val="toc 8"/>
    <w:basedOn w:val="770"/>
    <w:next w:val="770"/>
    <w:uiPriority w:val="39"/>
    <w:unhideWhenUsed/>
    <w:qFormat/>
    <w:pPr>
      <w:ind w:left="1984"/>
      <w:spacing w:after="57"/>
    </w:pPr>
  </w:style>
  <w:style w:type="paragraph" w:styleId="789">
    <w:name w:val="endnote text"/>
    <w:basedOn w:val="770"/>
    <w:link w:val="826"/>
    <w:uiPriority w:val="99"/>
    <w:unhideWhenUsed/>
    <w:qFormat/>
    <w:rPr>
      <w:sz w:val="20"/>
    </w:rPr>
  </w:style>
  <w:style w:type="paragraph" w:styleId="790">
    <w:name w:val="Balloon Text"/>
    <w:basedOn w:val="770"/>
    <w:link w:val="827"/>
    <w:uiPriority w:val="99"/>
    <w:unhideWhenUsed/>
    <w:qFormat/>
    <w:rPr>
      <w:sz w:val="18"/>
      <w:szCs w:val="18"/>
    </w:rPr>
  </w:style>
  <w:style w:type="paragraph" w:styleId="791">
    <w:name w:val="Footer"/>
    <w:basedOn w:val="770"/>
    <w:link w:val="828"/>
    <w:uiPriority w:val="99"/>
    <w:unhideWhenUsed/>
    <w:qFormat/>
    <w:pPr>
      <w:tabs>
        <w:tab w:val="center" w:pos="7143" w:leader="none"/>
        <w:tab w:val="right" w:pos="14287" w:leader="none"/>
      </w:tabs>
    </w:pPr>
  </w:style>
  <w:style w:type="paragraph" w:styleId="792">
    <w:name w:val="Header"/>
    <w:basedOn w:val="770"/>
    <w:link w:val="829"/>
    <w:uiPriority w:val="99"/>
    <w:unhideWhenUsed/>
    <w:qFormat/>
    <w:pPr>
      <w:tabs>
        <w:tab w:val="center" w:pos="7143" w:leader="none"/>
        <w:tab w:val="right" w:pos="14287" w:leader="none"/>
      </w:tabs>
    </w:pPr>
  </w:style>
  <w:style w:type="paragraph" w:styleId="793">
    <w:name w:val="toc 1"/>
    <w:basedOn w:val="770"/>
    <w:next w:val="770"/>
    <w:uiPriority w:val="39"/>
    <w:unhideWhenUsed/>
    <w:qFormat/>
    <w:pPr>
      <w:spacing w:after="57"/>
    </w:pPr>
  </w:style>
  <w:style w:type="paragraph" w:styleId="794">
    <w:name w:val="toc 4"/>
    <w:basedOn w:val="770"/>
    <w:next w:val="770"/>
    <w:uiPriority w:val="39"/>
    <w:unhideWhenUsed/>
    <w:qFormat/>
    <w:pPr>
      <w:ind w:left="850"/>
      <w:spacing w:after="57"/>
    </w:pPr>
  </w:style>
  <w:style w:type="paragraph" w:styleId="795">
    <w:name w:val="Subtitle"/>
    <w:basedOn w:val="770"/>
    <w:next w:val="770"/>
    <w:link w:val="830"/>
    <w:uiPriority w:val="11"/>
    <w:qFormat/>
    <w:pPr>
      <w:spacing w:before="200" w:after="200"/>
    </w:pPr>
    <w:rPr>
      <w:sz w:val="24"/>
      <w:szCs w:val="24"/>
    </w:rPr>
  </w:style>
  <w:style w:type="paragraph" w:styleId="796">
    <w:name w:val="footnote text"/>
    <w:basedOn w:val="770"/>
    <w:link w:val="831"/>
    <w:uiPriority w:val="99"/>
    <w:unhideWhenUsed/>
    <w:qFormat/>
    <w:pPr>
      <w:spacing w:after="40"/>
    </w:pPr>
    <w:rPr>
      <w:sz w:val="18"/>
    </w:rPr>
  </w:style>
  <w:style w:type="paragraph" w:styleId="797">
    <w:name w:val="toc 6"/>
    <w:basedOn w:val="770"/>
    <w:next w:val="770"/>
    <w:uiPriority w:val="39"/>
    <w:unhideWhenUsed/>
    <w:qFormat/>
    <w:pPr>
      <w:ind w:left="1417"/>
      <w:spacing w:after="57"/>
    </w:pPr>
  </w:style>
  <w:style w:type="paragraph" w:styleId="798">
    <w:name w:val="table of figures"/>
    <w:basedOn w:val="770"/>
    <w:next w:val="770"/>
    <w:uiPriority w:val="99"/>
    <w:unhideWhenUsed/>
    <w:qFormat/>
  </w:style>
  <w:style w:type="paragraph" w:styleId="799">
    <w:name w:val="toc 2"/>
    <w:basedOn w:val="770"/>
    <w:next w:val="770"/>
    <w:uiPriority w:val="39"/>
    <w:unhideWhenUsed/>
    <w:qFormat/>
    <w:pPr>
      <w:ind w:left="283"/>
      <w:spacing w:after="57"/>
    </w:pPr>
  </w:style>
  <w:style w:type="paragraph" w:styleId="800">
    <w:name w:val="toc 9"/>
    <w:basedOn w:val="770"/>
    <w:next w:val="770"/>
    <w:uiPriority w:val="39"/>
    <w:unhideWhenUsed/>
    <w:qFormat/>
    <w:pPr>
      <w:ind w:left="2268"/>
      <w:spacing w:after="57"/>
    </w:pPr>
  </w:style>
  <w:style w:type="paragraph" w:styleId="801">
    <w:name w:val="Title"/>
    <w:basedOn w:val="770"/>
    <w:next w:val="770"/>
    <w:link w:val="832"/>
    <w:uiPriority w:val="10"/>
    <w:qFormat/>
    <w:pPr>
      <w:contextualSpacing/>
      <w:spacing w:before="300" w:after="200"/>
    </w:pPr>
    <w:rPr>
      <w:sz w:val="48"/>
      <w:szCs w:val="48"/>
    </w:rPr>
  </w:style>
  <w:style w:type="table" w:styleId="802">
    <w:name w:val="Table Grid"/>
    <w:uiPriority w:val="59"/>
    <w:qFormat/>
    <w:tblPr>
      <w:tblCellMar>
        <w:left w:w="0" w:type="dxa"/>
        <w:top w:w="0" w:type="dxa"/>
        <w:right w:w="0" w:type="dxa"/>
        <w:bottom w:w="0" w:type="dxa"/>
      </w:tblCellMar>
    </w:tblPr>
  </w:style>
  <w:style w:type="character" w:styleId="803">
    <w:name w:val="endnote reference"/>
    <w:uiPriority w:val="99"/>
    <w:unhideWhenUsed/>
    <w:qFormat/>
    <w:rPr>
      <w:vertAlign w:val="superscript"/>
    </w:rPr>
  </w:style>
  <w:style w:type="character" w:styleId="804">
    <w:name w:val="Hyperlink"/>
    <w:uiPriority w:val="99"/>
    <w:unhideWhenUsed/>
    <w:qFormat/>
    <w:rPr>
      <w:color w:val="0000ff"/>
      <w:u w:val="single"/>
    </w:rPr>
  </w:style>
  <w:style w:type="character" w:styleId="805">
    <w:name w:val="footnote reference"/>
    <w:uiPriority w:val="99"/>
    <w:unhideWhenUsed/>
    <w:qFormat/>
    <w:rPr>
      <w:vertAlign w:val="superscript"/>
    </w:rPr>
  </w:style>
  <w:style w:type="paragraph" w:styleId="806" w:customStyle="1">
    <w:name w:val="列表段落1"/>
    <w:uiPriority w:val="99"/>
    <w:qFormat/>
    <w:pPr>
      <w:ind w:firstLine="420"/>
      <w:jc w:val="both"/>
      <w:widowControl w:val="off"/>
    </w:pPr>
    <w:rPr>
      <w:rFonts w:hint="default" w:ascii="Times New Roman" w:hAnsi="Times New Roman" w:eastAsia="宋体" w:cs="Times New Roman"/>
      <w:sz w:val="21"/>
      <w:szCs w:val="20"/>
      <w:lang w:val="en-US" w:eastAsia="zh-CN" w:bidi="ar-SA"/>
    </w:rPr>
  </w:style>
  <w:style w:type="paragraph" w:styleId="807">
    <w:name w:val="List Paragraph"/>
    <w:basedOn w:val="770"/>
    <w:uiPriority w:val="34"/>
    <w:qFormat/>
    <w:pPr>
      <w:contextualSpacing/>
      <w:ind w:left="720"/>
    </w:pPr>
  </w:style>
  <w:style w:type="paragraph" w:styleId="808">
    <w:name w:val="No Spacing"/>
    <w:uiPriority w:val="1"/>
    <w:qFormat/>
    <w:rPr>
      <w:rFonts w:hint="default" w:ascii="Times New Roman" w:hAnsi="Times New Roman" w:eastAsia="宋体" w:cs="Times New Roman"/>
    </w:rPr>
  </w:style>
  <w:style w:type="paragraph" w:styleId="809">
    <w:name w:val="Quote"/>
    <w:basedOn w:val="770"/>
    <w:next w:val="770"/>
    <w:link w:val="871"/>
    <w:uiPriority w:val="29"/>
    <w:qFormat/>
    <w:pPr>
      <w:ind w:left="720" w:right="720"/>
    </w:pPr>
    <w:rPr>
      <w:i/>
    </w:rPr>
  </w:style>
  <w:style w:type="paragraph" w:styleId="810">
    <w:name w:val="Intense Quote"/>
    <w:basedOn w:val="770"/>
    <w:next w:val="770"/>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1" w:customStyle="1">
    <w:name w:val="正文1"/>
    <w:basedOn w:val="770"/>
    <w:next w:val="812"/>
    <w:uiPriority w:val="0"/>
    <w:qFormat/>
    <w:pPr>
      <w:jc w:val="left"/>
      <w:spacing w:line="360" w:lineRule="atLeast"/>
    </w:pPr>
    <w:rPr>
      <w:rFonts w:ascii="宋体" w:hAnsi="Calibri"/>
      <w:sz w:val="24"/>
      <w:szCs w:val="20"/>
    </w:rPr>
  </w:style>
  <w:style w:type="paragraph" w:styleId="812" w:customStyle="1">
    <w:name w:val="正文文本1"/>
    <w:basedOn w:val="811"/>
    <w:next w:val="813"/>
    <w:uiPriority w:val="0"/>
    <w:qFormat/>
    <w:pPr>
      <w:spacing w:after="120"/>
    </w:pPr>
    <w:rPr>
      <w:lang w:eastAsia="en-US"/>
    </w:rPr>
  </w:style>
  <w:style w:type="paragraph" w:styleId="813" w:customStyle="1">
    <w:name w:val="一级条标题"/>
    <w:basedOn w:val="814"/>
    <w:next w:val="8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4" w:customStyle="1">
    <w:name w:val="章标题"/>
    <w:next w:val="77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15" w:customStyle="1">
    <w:name w:val="段"/>
    <w:basedOn w:val="811"/>
    <w:next w:val="770"/>
    <w:uiPriority w:val="0"/>
    <w:qFormat/>
    <w:pPr>
      <w:ind w:firstLine="200"/>
      <w:widowControl/>
    </w:pPr>
    <w:rPr>
      <w:sz w:val="20"/>
    </w:rPr>
  </w:style>
  <w:style w:type="character" w:styleId="816" w:customStyle="1">
    <w:name w:val="标题 1 字符"/>
    <w:link w:val="771"/>
    <w:uiPriority w:val="9"/>
    <w:qFormat/>
    <w:rPr>
      <w:rFonts w:ascii="Arial" w:hAnsi="Arial" w:eastAsia="Arial" w:cs="Arial"/>
      <w:sz w:val="40"/>
      <w:szCs w:val="40"/>
    </w:rPr>
  </w:style>
  <w:style w:type="character" w:styleId="817" w:customStyle="1">
    <w:name w:val="标题 2 字符"/>
    <w:link w:val="772"/>
    <w:uiPriority w:val="9"/>
    <w:qFormat/>
    <w:rPr>
      <w:rFonts w:ascii="Arial" w:hAnsi="Arial" w:eastAsia="Arial" w:cs="Arial"/>
      <w:sz w:val="34"/>
    </w:rPr>
  </w:style>
  <w:style w:type="character" w:styleId="818" w:customStyle="1">
    <w:name w:val="标题 3 字符"/>
    <w:link w:val="773"/>
    <w:uiPriority w:val="9"/>
    <w:qFormat/>
    <w:rPr>
      <w:rFonts w:ascii="Arial" w:hAnsi="Arial" w:eastAsia="Arial" w:cs="Arial"/>
      <w:sz w:val="30"/>
      <w:szCs w:val="30"/>
    </w:rPr>
  </w:style>
  <w:style w:type="character" w:styleId="819" w:customStyle="1">
    <w:name w:val="标题 4 字符"/>
    <w:link w:val="774"/>
    <w:uiPriority w:val="9"/>
    <w:qFormat/>
    <w:rPr>
      <w:rFonts w:ascii="Arial" w:hAnsi="Arial" w:eastAsia="Arial" w:cs="Arial"/>
      <w:b/>
      <w:bCs/>
      <w:sz w:val="26"/>
      <w:szCs w:val="26"/>
    </w:rPr>
  </w:style>
  <w:style w:type="character" w:styleId="820" w:customStyle="1">
    <w:name w:val="标题 5 字符"/>
    <w:link w:val="775"/>
    <w:uiPriority w:val="9"/>
    <w:qFormat/>
    <w:rPr>
      <w:rFonts w:ascii="Arial" w:hAnsi="Arial" w:eastAsia="Arial" w:cs="Arial"/>
      <w:b/>
      <w:bCs/>
      <w:sz w:val="24"/>
      <w:szCs w:val="24"/>
    </w:rPr>
  </w:style>
  <w:style w:type="character" w:styleId="821" w:customStyle="1">
    <w:name w:val="标题 6 字符"/>
    <w:link w:val="776"/>
    <w:uiPriority w:val="9"/>
    <w:qFormat/>
    <w:rPr>
      <w:rFonts w:ascii="Arial" w:hAnsi="Arial" w:eastAsia="Arial" w:cs="Arial"/>
      <w:b/>
      <w:bCs/>
      <w:sz w:val="22"/>
      <w:szCs w:val="22"/>
    </w:rPr>
  </w:style>
  <w:style w:type="character" w:styleId="822" w:customStyle="1">
    <w:name w:val="标题 7 字符"/>
    <w:link w:val="777"/>
    <w:uiPriority w:val="9"/>
    <w:qFormat/>
    <w:rPr>
      <w:rFonts w:ascii="Arial" w:hAnsi="Arial" w:eastAsia="Arial" w:cs="Arial"/>
      <w:b/>
      <w:bCs/>
      <w:i/>
      <w:iCs/>
      <w:sz w:val="22"/>
      <w:szCs w:val="22"/>
    </w:rPr>
  </w:style>
  <w:style w:type="character" w:styleId="823" w:customStyle="1">
    <w:name w:val="标题 8 字符"/>
    <w:link w:val="778"/>
    <w:uiPriority w:val="9"/>
    <w:qFormat/>
    <w:rPr>
      <w:rFonts w:ascii="Arial" w:hAnsi="Arial" w:eastAsia="Arial" w:cs="Arial"/>
      <w:i/>
      <w:iCs/>
      <w:sz w:val="22"/>
      <w:szCs w:val="22"/>
    </w:rPr>
  </w:style>
  <w:style w:type="character" w:styleId="824" w:customStyle="1">
    <w:name w:val="标题 9 字符"/>
    <w:link w:val="779"/>
    <w:uiPriority w:val="9"/>
    <w:qFormat/>
    <w:rPr>
      <w:rFonts w:ascii="Arial" w:hAnsi="Arial" w:eastAsia="Arial" w:cs="Arial"/>
      <w:i/>
      <w:iCs/>
      <w:sz w:val="21"/>
      <w:szCs w:val="21"/>
    </w:rPr>
  </w:style>
  <w:style w:type="character" w:styleId="825" w:customStyle="1">
    <w:name w:val="批注文字 字符"/>
    <w:link w:val="784"/>
    <w:uiPriority w:val="0"/>
    <w:qFormat/>
    <w:rPr>
      <w:rFonts w:ascii="Calibri" w:hAnsi="Calibri"/>
      <w:sz w:val="21"/>
      <w:szCs w:val="22"/>
    </w:rPr>
  </w:style>
  <w:style w:type="character" w:styleId="826" w:customStyle="1">
    <w:name w:val="尾注文本 字符"/>
    <w:link w:val="789"/>
    <w:uiPriority w:val="99"/>
    <w:qFormat/>
    <w:rPr>
      <w:sz w:val="20"/>
    </w:rPr>
  </w:style>
  <w:style w:type="character" w:styleId="827" w:customStyle="1">
    <w:name w:val="批注框文本 字符"/>
    <w:link w:val="790"/>
    <w:uiPriority w:val="99"/>
    <w:semiHidden/>
    <w:qFormat/>
    <w:rPr>
      <w:sz w:val="18"/>
      <w:szCs w:val="18"/>
    </w:rPr>
  </w:style>
  <w:style w:type="character" w:styleId="828" w:customStyle="1">
    <w:name w:val="页脚 字符1"/>
    <w:link w:val="791"/>
    <w:uiPriority w:val="99"/>
    <w:qFormat/>
  </w:style>
  <w:style w:type="character" w:styleId="829" w:customStyle="1">
    <w:name w:val="页眉 字符1"/>
    <w:link w:val="792"/>
    <w:uiPriority w:val="99"/>
    <w:qFormat/>
  </w:style>
  <w:style w:type="character" w:styleId="830" w:customStyle="1">
    <w:name w:val="副标题 字符"/>
    <w:link w:val="795"/>
    <w:uiPriority w:val="11"/>
    <w:qFormat/>
    <w:rPr>
      <w:sz w:val="24"/>
      <w:szCs w:val="24"/>
    </w:rPr>
  </w:style>
  <w:style w:type="character" w:styleId="831" w:customStyle="1">
    <w:name w:val="脚注文本 字符"/>
    <w:link w:val="796"/>
    <w:uiPriority w:val="99"/>
    <w:qFormat/>
    <w:rPr>
      <w:sz w:val="18"/>
    </w:rPr>
  </w:style>
  <w:style w:type="character" w:styleId="832" w:customStyle="1">
    <w:name w:val="标题 字符"/>
    <w:link w:val="801"/>
    <w:uiPriority w:val="10"/>
    <w:qFormat/>
    <w:rPr>
      <w:sz w:val="48"/>
      <w:szCs w:val="48"/>
    </w:rPr>
  </w:style>
  <w:style w:type="paragraph" w:styleId="833" w:customStyle="1">
    <w:name w:val="Normal_0"/>
    <w:next w:val="785"/>
    <w:uiPriority w:val="0"/>
    <w:qFormat/>
    <w:pPr>
      <w:jc w:val="both"/>
      <w:widowControl w:val="off"/>
    </w:pPr>
    <w:rPr>
      <w:rFonts w:hint="default" w:ascii="Times New Roman" w:hAnsi="Times New Roman" w:eastAsia="宋体" w:cs="Times New Roman"/>
      <w:sz w:val="21"/>
      <w:szCs w:val="24"/>
    </w:rPr>
  </w:style>
  <w:style w:type="character" w:styleId="834" w:customStyle="1">
    <w:name w:val="Heading 1 Char"/>
    <w:uiPriority w:val="9"/>
    <w:qFormat/>
    <w:rPr>
      <w:rFonts w:ascii="Arial" w:hAnsi="Arial" w:eastAsia="Arial" w:cs="Arial"/>
      <w:sz w:val="40"/>
      <w:szCs w:val="40"/>
    </w:rPr>
  </w:style>
  <w:style w:type="character" w:styleId="835" w:customStyle="1">
    <w:name w:val="Heading 2 Char"/>
    <w:uiPriority w:val="9"/>
    <w:qFormat/>
    <w:rPr>
      <w:rFonts w:ascii="Arial" w:hAnsi="Arial" w:eastAsia="Arial" w:cs="Arial"/>
      <w:sz w:val="34"/>
    </w:rPr>
  </w:style>
  <w:style w:type="character" w:styleId="836" w:customStyle="1">
    <w:name w:val="Heading 3 Char"/>
    <w:uiPriority w:val="9"/>
    <w:qFormat/>
    <w:rPr>
      <w:rFonts w:ascii="Arial" w:hAnsi="Arial" w:eastAsia="Arial" w:cs="Arial"/>
      <w:sz w:val="30"/>
      <w:szCs w:val="30"/>
    </w:rPr>
  </w:style>
  <w:style w:type="character" w:styleId="837" w:customStyle="1">
    <w:name w:val="Heading 4 Char"/>
    <w:uiPriority w:val="9"/>
    <w:qFormat/>
    <w:rPr>
      <w:rFonts w:ascii="Arial" w:hAnsi="Arial" w:eastAsia="Arial" w:cs="Arial"/>
      <w:b/>
      <w:bCs/>
      <w:sz w:val="26"/>
      <w:szCs w:val="26"/>
    </w:rPr>
  </w:style>
  <w:style w:type="character" w:styleId="838" w:customStyle="1">
    <w:name w:val="Heading 5 Char"/>
    <w:uiPriority w:val="9"/>
    <w:qFormat/>
    <w:rPr>
      <w:rFonts w:ascii="Arial" w:hAnsi="Arial" w:eastAsia="Arial" w:cs="Arial"/>
      <w:b/>
      <w:bCs/>
      <w:sz w:val="24"/>
      <w:szCs w:val="24"/>
    </w:rPr>
  </w:style>
  <w:style w:type="character" w:styleId="839" w:customStyle="1">
    <w:name w:val="Heading 6 Char"/>
    <w:uiPriority w:val="9"/>
    <w:qFormat/>
    <w:rPr>
      <w:rFonts w:ascii="Arial" w:hAnsi="Arial" w:eastAsia="Arial" w:cs="Arial"/>
      <w:b/>
      <w:bCs/>
      <w:sz w:val="22"/>
      <w:szCs w:val="22"/>
    </w:rPr>
  </w:style>
  <w:style w:type="character" w:styleId="840" w:customStyle="1">
    <w:name w:val="Heading 7 Char"/>
    <w:uiPriority w:val="9"/>
    <w:qFormat/>
    <w:rPr>
      <w:rFonts w:ascii="Arial" w:hAnsi="Arial" w:eastAsia="Arial" w:cs="Arial"/>
      <w:b/>
      <w:bCs/>
      <w:i/>
      <w:iCs/>
      <w:sz w:val="22"/>
      <w:szCs w:val="22"/>
    </w:rPr>
  </w:style>
  <w:style w:type="character" w:styleId="841" w:customStyle="1">
    <w:name w:val="Heading 8 Char"/>
    <w:uiPriority w:val="9"/>
    <w:qFormat/>
    <w:rPr>
      <w:rFonts w:ascii="Arial" w:hAnsi="Arial" w:eastAsia="Arial" w:cs="Arial"/>
      <w:i/>
      <w:iCs/>
      <w:sz w:val="22"/>
      <w:szCs w:val="22"/>
    </w:rPr>
  </w:style>
  <w:style w:type="character" w:styleId="842" w:customStyle="1">
    <w:name w:val="Heading 9 Char"/>
    <w:uiPriority w:val="9"/>
    <w:qFormat/>
    <w:rPr>
      <w:rFonts w:ascii="Arial" w:hAnsi="Arial" w:eastAsia="Arial" w:cs="Arial"/>
      <w:i/>
      <w:iCs/>
      <w:sz w:val="21"/>
      <w:szCs w:val="21"/>
    </w:rPr>
  </w:style>
  <w:style w:type="character" w:styleId="843" w:customStyle="1">
    <w:name w:val="Title Char"/>
    <w:uiPriority w:val="10"/>
    <w:qFormat/>
    <w:rPr>
      <w:sz w:val="48"/>
      <w:szCs w:val="48"/>
    </w:rPr>
  </w:style>
  <w:style w:type="character" w:styleId="844" w:customStyle="1">
    <w:name w:val="Subtitle Char"/>
    <w:uiPriority w:val="11"/>
    <w:qFormat/>
    <w:rPr>
      <w:sz w:val="24"/>
      <w:szCs w:val="24"/>
    </w:rPr>
  </w:style>
  <w:style w:type="character" w:styleId="845" w:customStyle="1">
    <w:name w:val="Quote Char"/>
    <w:uiPriority w:val="29"/>
    <w:qFormat/>
    <w:rPr>
      <w:i/>
    </w:rPr>
  </w:style>
  <w:style w:type="character" w:styleId="846" w:customStyle="1">
    <w:name w:val="Intense Quote Char"/>
    <w:uiPriority w:val="30"/>
    <w:qFormat/>
    <w:rPr>
      <w:i/>
    </w:rPr>
  </w:style>
  <w:style w:type="character" w:styleId="847" w:customStyle="1">
    <w:name w:val="Header Char"/>
    <w:uiPriority w:val="99"/>
    <w:qFormat/>
  </w:style>
  <w:style w:type="character" w:styleId="848" w:customStyle="1">
    <w:name w:val="Caption Char"/>
    <w:uiPriority w:val="99"/>
    <w:qFormat/>
  </w:style>
  <w:style w:type="table" w:styleId="849" w:customStyle="1">
    <w:name w:val="Plain Table 1"/>
    <w:basedOn w:val="781"/>
    <w:uiPriority w:val="59"/>
    <w:qFormat/>
    <w:tblPr/>
  </w:style>
  <w:style w:type="table" w:styleId="850" w:customStyle="1">
    <w:name w:val="Plain Table 2"/>
    <w:basedOn w:val="781"/>
    <w:uiPriority w:val="59"/>
    <w:qFormat/>
    <w:tblPr/>
  </w:style>
  <w:style w:type="table" w:styleId="851" w:customStyle="1">
    <w:name w:val="Plain Table 3"/>
    <w:basedOn w:val="781"/>
    <w:uiPriority w:val="99"/>
    <w:qFormat/>
    <w:tblPr/>
  </w:style>
  <w:style w:type="table" w:styleId="852" w:customStyle="1">
    <w:name w:val="Plain Table 4"/>
    <w:basedOn w:val="781"/>
    <w:uiPriority w:val="99"/>
    <w:qFormat/>
    <w:tblPr/>
  </w:style>
  <w:style w:type="table" w:styleId="853" w:customStyle="1">
    <w:name w:val="Plain Table 5"/>
    <w:basedOn w:val="781"/>
    <w:uiPriority w:val="99"/>
    <w:qFormat/>
    <w:tblPr/>
  </w:style>
  <w:style w:type="table" w:styleId="854" w:customStyle="1">
    <w:name w:val="Grid Table 1 Light"/>
    <w:basedOn w:val="781"/>
    <w:uiPriority w:val="99"/>
    <w:qFormat/>
    <w:tblPr/>
  </w:style>
  <w:style w:type="table" w:styleId="855" w:customStyle="1">
    <w:name w:val="Grid Table 2"/>
    <w:basedOn w:val="781"/>
    <w:uiPriority w:val="99"/>
    <w:qFormat/>
    <w:tblPr/>
  </w:style>
  <w:style w:type="table" w:styleId="856" w:customStyle="1">
    <w:name w:val="Grid Table 3"/>
    <w:basedOn w:val="781"/>
    <w:uiPriority w:val="99"/>
    <w:qFormat/>
    <w:tblPr/>
  </w:style>
  <w:style w:type="table" w:styleId="857" w:customStyle="1">
    <w:name w:val="Grid Table 4"/>
    <w:basedOn w:val="781"/>
    <w:uiPriority w:val="59"/>
    <w:qFormat/>
    <w:tblPr/>
  </w:style>
  <w:style w:type="table" w:styleId="858" w:customStyle="1">
    <w:name w:val="Grid Table 5 Dark"/>
    <w:basedOn w:val="781"/>
    <w:uiPriority w:val="99"/>
    <w:qFormat/>
    <w:tblPr/>
  </w:style>
  <w:style w:type="table" w:styleId="859" w:customStyle="1">
    <w:name w:val="Grid Table 6 Colorful"/>
    <w:basedOn w:val="781"/>
    <w:uiPriority w:val="99"/>
    <w:qFormat/>
    <w:tblPr/>
  </w:style>
  <w:style w:type="table" w:styleId="860" w:customStyle="1">
    <w:name w:val="Grid Table 7 Colorful"/>
    <w:basedOn w:val="781"/>
    <w:uiPriority w:val="99"/>
    <w:qFormat/>
    <w:tblPr/>
  </w:style>
  <w:style w:type="table" w:styleId="861" w:customStyle="1">
    <w:name w:val="List Table 1 Light"/>
    <w:basedOn w:val="781"/>
    <w:uiPriority w:val="99"/>
    <w:qFormat/>
    <w:tblPr/>
  </w:style>
  <w:style w:type="table" w:styleId="862" w:customStyle="1">
    <w:name w:val="List Table 2"/>
    <w:basedOn w:val="781"/>
    <w:uiPriority w:val="99"/>
    <w:qFormat/>
    <w:tblPr/>
  </w:style>
  <w:style w:type="table" w:styleId="863" w:customStyle="1">
    <w:name w:val="List Table 3"/>
    <w:basedOn w:val="781"/>
    <w:uiPriority w:val="99"/>
    <w:qFormat/>
    <w:tblPr/>
  </w:style>
  <w:style w:type="table" w:styleId="864" w:customStyle="1">
    <w:name w:val="List Table 4"/>
    <w:basedOn w:val="781"/>
    <w:uiPriority w:val="99"/>
    <w:qFormat/>
    <w:tblPr/>
  </w:style>
  <w:style w:type="table" w:styleId="865" w:customStyle="1">
    <w:name w:val="List Table 5 Dark"/>
    <w:basedOn w:val="781"/>
    <w:uiPriority w:val="99"/>
    <w:qFormat/>
    <w:tblPr/>
  </w:style>
  <w:style w:type="table" w:styleId="866" w:customStyle="1">
    <w:name w:val="List Table 6 Colorful"/>
    <w:basedOn w:val="781"/>
    <w:uiPriority w:val="99"/>
    <w:qFormat/>
    <w:tblPr/>
  </w:style>
  <w:style w:type="table" w:styleId="867" w:customStyle="1">
    <w:name w:val="List Table 7 Colorful"/>
    <w:basedOn w:val="781"/>
    <w:uiPriority w:val="99"/>
    <w:qFormat/>
    <w:tblPr/>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character" w:styleId="871" w:customStyle="1">
    <w:name w:val="引用 字符"/>
    <w:link w:val="809"/>
    <w:uiPriority w:val="29"/>
    <w:qFormat/>
    <w:rPr>
      <w:i/>
    </w:rPr>
  </w:style>
  <w:style w:type="character" w:styleId="872" w:customStyle="1">
    <w:name w:val="明显引用 字符"/>
    <w:link w:val="810"/>
    <w:uiPriority w:val="30"/>
    <w:qFormat/>
    <w:rPr>
      <w:i/>
    </w:rPr>
  </w:style>
  <w:style w:type="character" w:styleId="873" w:customStyle="1">
    <w:name w:val="Footer Char"/>
    <w:uiPriority w:val="99"/>
    <w:qFormat/>
  </w:style>
  <w:style w:type="table" w:styleId="874" w:customStyle="1">
    <w:name w:val="Table Grid Light"/>
    <w:uiPriority w:val="59"/>
    <w:qFormat/>
    <w:tblPr>
      <w:tblCellMar>
        <w:left w:w="0" w:type="dxa"/>
        <w:top w:w="0" w:type="dxa"/>
        <w:right w:w="0" w:type="dxa"/>
        <w:bottom w:w="0" w:type="dxa"/>
      </w:tblCellMar>
    </w:tblPr>
  </w:style>
  <w:style w:type="table" w:styleId="875" w:customStyle="1">
    <w:name w:val="无格式表格 11"/>
    <w:uiPriority w:val="59"/>
    <w:qFormat/>
    <w:tblPr>
      <w:tblCellMar>
        <w:left w:w="0" w:type="dxa"/>
        <w:top w:w="0" w:type="dxa"/>
        <w:right w:w="0" w:type="dxa"/>
        <w:bottom w:w="0" w:type="dxa"/>
      </w:tblCellMar>
    </w:tblPr>
  </w:style>
  <w:style w:type="table" w:styleId="876" w:customStyle="1">
    <w:name w:val="无格式表格 21"/>
    <w:uiPriority w:val="59"/>
    <w:qFormat/>
    <w:tblPr>
      <w:tblCellMar>
        <w:left w:w="0" w:type="dxa"/>
        <w:top w:w="0" w:type="dxa"/>
        <w:right w:w="0" w:type="dxa"/>
        <w:bottom w:w="0" w:type="dxa"/>
      </w:tblCellMar>
    </w:tblPr>
  </w:style>
  <w:style w:type="table" w:styleId="877" w:customStyle="1">
    <w:name w:val="无格式表格 31"/>
    <w:uiPriority w:val="99"/>
    <w:qFormat/>
    <w:tblPr>
      <w:tblCellMar>
        <w:left w:w="0" w:type="dxa"/>
        <w:top w:w="0" w:type="dxa"/>
        <w:right w:w="0" w:type="dxa"/>
        <w:bottom w:w="0" w:type="dxa"/>
      </w:tblCellMar>
    </w:tblPr>
  </w:style>
  <w:style w:type="table" w:styleId="878" w:customStyle="1">
    <w:name w:val="无格式表格 41"/>
    <w:uiPriority w:val="99"/>
    <w:qFormat/>
    <w:tblPr>
      <w:tblCellMar>
        <w:left w:w="0" w:type="dxa"/>
        <w:top w:w="0" w:type="dxa"/>
        <w:right w:w="0" w:type="dxa"/>
        <w:bottom w:w="0" w:type="dxa"/>
      </w:tblCellMar>
    </w:tblPr>
  </w:style>
  <w:style w:type="table" w:styleId="879" w:customStyle="1">
    <w:name w:val="无格式表格 51"/>
    <w:uiPriority w:val="99"/>
    <w:qFormat/>
    <w:tblPr>
      <w:tblCellMar>
        <w:left w:w="0" w:type="dxa"/>
        <w:top w:w="0" w:type="dxa"/>
        <w:right w:w="0" w:type="dxa"/>
        <w:bottom w:w="0" w:type="dxa"/>
      </w:tblCellMar>
    </w:tblPr>
  </w:style>
  <w:style w:type="table" w:styleId="880" w:customStyle="1">
    <w:name w:val="网格表 1 浅色1"/>
    <w:uiPriority w:val="99"/>
    <w:qFormat/>
    <w:tblPr>
      <w:tblCellMar>
        <w:left w:w="0" w:type="dxa"/>
        <w:top w:w="0" w:type="dxa"/>
        <w:right w:w="0" w:type="dxa"/>
        <w:bottom w:w="0" w:type="dxa"/>
      </w:tblCellMar>
    </w:tblPr>
  </w:style>
  <w:style w:type="table" w:styleId="881" w:customStyle="1">
    <w:name w:val="Grid Table 1 Light - Accent 1"/>
    <w:uiPriority w:val="99"/>
    <w:qFormat/>
    <w:tblPr>
      <w:tblCellMar>
        <w:left w:w="0" w:type="dxa"/>
        <w:top w:w="0" w:type="dxa"/>
        <w:right w:w="0" w:type="dxa"/>
        <w:bottom w:w="0" w:type="dxa"/>
      </w:tblCellMar>
    </w:tblPr>
  </w:style>
  <w:style w:type="table" w:styleId="882" w:customStyle="1">
    <w:name w:val="Grid Table 1 Light - Accent 2"/>
    <w:uiPriority w:val="99"/>
    <w:qFormat/>
    <w:tblPr>
      <w:tblCellMar>
        <w:left w:w="0" w:type="dxa"/>
        <w:top w:w="0" w:type="dxa"/>
        <w:right w:w="0" w:type="dxa"/>
        <w:bottom w:w="0" w:type="dxa"/>
      </w:tblCellMar>
    </w:tblPr>
  </w:style>
  <w:style w:type="table" w:styleId="883" w:customStyle="1">
    <w:name w:val="Grid Table 1 Light - Accent 3"/>
    <w:uiPriority w:val="99"/>
    <w:qFormat/>
    <w:tblPr>
      <w:tblCellMar>
        <w:left w:w="0" w:type="dxa"/>
        <w:top w:w="0" w:type="dxa"/>
        <w:right w:w="0" w:type="dxa"/>
        <w:bottom w:w="0" w:type="dxa"/>
      </w:tblCellMar>
    </w:tblPr>
  </w:style>
  <w:style w:type="table" w:styleId="884" w:customStyle="1">
    <w:name w:val="Grid Table 1 Light - Accent 4"/>
    <w:uiPriority w:val="99"/>
    <w:qFormat/>
    <w:tblPr>
      <w:tblCellMar>
        <w:left w:w="0" w:type="dxa"/>
        <w:top w:w="0" w:type="dxa"/>
        <w:right w:w="0" w:type="dxa"/>
        <w:bottom w:w="0" w:type="dxa"/>
      </w:tblCellMar>
    </w:tblPr>
  </w:style>
  <w:style w:type="table" w:styleId="885" w:customStyle="1">
    <w:name w:val="Grid Table 1 Light - Accent 5"/>
    <w:uiPriority w:val="99"/>
    <w:qFormat/>
    <w:tblPr>
      <w:tblCellMar>
        <w:left w:w="0" w:type="dxa"/>
        <w:top w:w="0" w:type="dxa"/>
        <w:right w:w="0" w:type="dxa"/>
        <w:bottom w:w="0" w:type="dxa"/>
      </w:tblCellMar>
    </w:tblPr>
  </w:style>
  <w:style w:type="table" w:styleId="886" w:customStyle="1">
    <w:name w:val="Grid Table 1 Light - Accent 6"/>
    <w:uiPriority w:val="99"/>
    <w:qFormat/>
    <w:tblPr>
      <w:tblCellMar>
        <w:left w:w="0" w:type="dxa"/>
        <w:top w:w="0" w:type="dxa"/>
        <w:right w:w="0" w:type="dxa"/>
        <w:bottom w:w="0" w:type="dxa"/>
      </w:tblCellMar>
    </w:tblPr>
  </w:style>
  <w:style w:type="table" w:styleId="887" w:customStyle="1">
    <w:name w:val="网格表 21"/>
    <w:uiPriority w:val="99"/>
    <w:qFormat/>
    <w:tblPr>
      <w:tblCellMar>
        <w:left w:w="0" w:type="dxa"/>
        <w:top w:w="0" w:type="dxa"/>
        <w:right w:w="0" w:type="dxa"/>
        <w:bottom w:w="0" w:type="dxa"/>
      </w:tblCellMar>
    </w:tblPr>
  </w:style>
  <w:style w:type="table" w:styleId="888" w:customStyle="1">
    <w:name w:val="Grid Table 2 - Accent 1"/>
    <w:uiPriority w:val="99"/>
    <w:qFormat/>
    <w:tblPr>
      <w:tblCellMar>
        <w:left w:w="0" w:type="dxa"/>
        <w:top w:w="0" w:type="dxa"/>
        <w:right w:w="0" w:type="dxa"/>
        <w:bottom w:w="0" w:type="dxa"/>
      </w:tblCellMar>
    </w:tblPr>
  </w:style>
  <w:style w:type="table" w:styleId="889" w:customStyle="1">
    <w:name w:val="Grid Table 2 - Accent 2"/>
    <w:uiPriority w:val="99"/>
    <w:qFormat/>
    <w:tblPr>
      <w:tblCellMar>
        <w:left w:w="0" w:type="dxa"/>
        <w:top w:w="0" w:type="dxa"/>
        <w:right w:w="0" w:type="dxa"/>
        <w:bottom w:w="0" w:type="dxa"/>
      </w:tblCellMar>
    </w:tblPr>
  </w:style>
  <w:style w:type="table" w:styleId="890" w:customStyle="1">
    <w:name w:val="Grid Table 2 - Accent 3"/>
    <w:uiPriority w:val="99"/>
    <w:qFormat/>
    <w:tblPr>
      <w:tblCellMar>
        <w:left w:w="0" w:type="dxa"/>
        <w:top w:w="0" w:type="dxa"/>
        <w:right w:w="0" w:type="dxa"/>
        <w:bottom w:w="0" w:type="dxa"/>
      </w:tblCellMar>
    </w:tblPr>
  </w:style>
  <w:style w:type="table" w:styleId="891" w:customStyle="1">
    <w:name w:val="Grid Table 2 - Accent 4"/>
    <w:uiPriority w:val="99"/>
    <w:qFormat/>
    <w:tblPr>
      <w:tblCellMar>
        <w:left w:w="0" w:type="dxa"/>
        <w:top w:w="0" w:type="dxa"/>
        <w:right w:w="0" w:type="dxa"/>
        <w:bottom w:w="0" w:type="dxa"/>
      </w:tblCellMar>
    </w:tblPr>
  </w:style>
  <w:style w:type="table" w:styleId="892" w:customStyle="1">
    <w:name w:val="Grid Table 2 - Accent 5"/>
    <w:uiPriority w:val="99"/>
    <w:qFormat/>
    <w:tblPr>
      <w:tblCellMar>
        <w:left w:w="0" w:type="dxa"/>
        <w:top w:w="0" w:type="dxa"/>
        <w:right w:w="0" w:type="dxa"/>
        <w:bottom w:w="0" w:type="dxa"/>
      </w:tblCellMar>
    </w:tblPr>
  </w:style>
  <w:style w:type="table" w:styleId="893" w:customStyle="1">
    <w:name w:val="Grid Table 2 - Accent 6"/>
    <w:uiPriority w:val="99"/>
    <w:qFormat/>
    <w:tblPr>
      <w:tblCellMar>
        <w:left w:w="0" w:type="dxa"/>
        <w:top w:w="0" w:type="dxa"/>
        <w:right w:w="0" w:type="dxa"/>
        <w:bottom w:w="0" w:type="dxa"/>
      </w:tblCellMar>
    </w:tblPr>
  </w:style>
  <w:style w:type="table" w:styleId="894" w:customStyle="1">
    <w:name w:val="网格表 31"/>
    <w:uiPriority w:val="99"/>
    <w:qFormat/>
    <w:tblPr>
      <w:tblCellMar>
        <w:left w:w="0" w:type="dxa"/>
        <w:top w:w="0" w:type="dxa"/>
        <w:right w:w="0" w:type="dxa"/>
        <w:bottom w:w="0" w:type="dxa"/>
      </w:tblCellMar>
    </w:tblPr>
  </w:style>
  <w:style w:type="table" w:styleId="895" w:customStyle="1">
    <w:name w:val="Grid Table 3 - Accent 1"/>
    <w:uiPriority w:val="99"/>
    <w:qFormat/>
    <w:tblPr>
      <w:tblCellMar>
        <w:left w:w="0" w:type="dxa"/>
        <w:top w:w="0" w:type="dxa"/>
        <w:right w:w="0" w:type="dxa"/>
        <w:bottom w:w="0" w:type="dxa"/>
      </w:tblCellMar>
    </w:tblPr>
  </w:style>
  <w:style w:type="table" w:styleId="896" w:customStyle="1">
    <w:name w:val="Grid Table 3 - Accent 2"/>
    <w:uiPriority w:val="99"/>
    <w:qFormat/>
    <w:tblPr>
      <w:tblCellMar>
        <w:left w:w="0" w:type="dxa"/>
        <w:top w:w="0" w:type="dxa"/>
        <w:right w:w="0" w:type="dxa"/>
        <w:bottom w:w="0" w:type="dxa"/>
      </w:tblCellMar>
    </w:tblPr>
  </w:style>
  <w:style w:type="table" w:styleId="897" w:customStyle="1">
    <w:name w:val="Grid Table 3 - Accent 3"/>
    <w:uiPriority w:val="99"/>
    <w:qFormat/>
    <w:tblPr>
      <w:tblCellMar>
        <w:left w:w="0" w:type="dxa"/>
        <w:top w:w="0" w:type="dxa"/>
        <w:right w:w="0" w:type="dxa"/>
        <w:bottom w:w="0" w:type="dxa"/>
      </w:tblCellMar>
    </w:tblPr>
  </w:style>
  <w:style w:type="table" w:styleId="898" w:customStyle="1">
    <w:name w:val="Grid Table 3 - Accent 4"/>
    <w:uiPriority w:val="99"/>
    <w:qFormat/>
    <w:tblPr>
      <w:tblCellMar>
        <w:left w:w="0" w:type="dxa"/>
        <w:top w:w="0" w:type="dxa"/>
        <w:right w:w="0" w:type="dxa"/>
        <w:bottom w:w="0" w:type="dxa"/>
      </w:tblCellMar>
    </w:tblPr>
  </w:style>
  <w:style w:type="table" w:styleId="899" w:customStyle="1">
    <w:name w:val="Grid Table 3 - Accent 5"/>
    <w:uiPriority w:val="99"/>
    <w:qFormat/>
    <w:tblPr>
      <w:tblCellMar>
        <w:left w:w="0" w:type="dxa"/>
        <w:top w:w="0" w:type="dxa"/>
        <w:right w:w="0" w:type="dxa"/>
        <w:bottom w:w="0" w:type="dxa"/>
      </w:tblCellMar>
    </w:tblPr>
  </w:style>
  <w:style w:type="table" w:styleId="900" w:customStyle="1">
    <w:name w:val="Grid Table 3 - Accent 6"/>
    <w:uiPriority w:val="99"/>
    <w:qFormat/>
    <w:tblPr>
      <w:tblCellMar>
        <w:left w:w="0" w:type="dxa"/>
        <w:top w:w="0" w:type="dxa"/>
        <w:right w:w="0" w:type="dxa"/>
        <w:bottom w:w="0" w:type="dxa"/>
      </w:tblCellMar>
    </w:tblPr>
  </w:style>
  <w:style w:type="table" w:styleId="901" w:customStyle="1">
    <w:name w:val="网格表 41"/>
    <w:uiPriority w:val="59"/>
    <w:qFormat/>
    <w:tblPr>
      <w:tblCellMar>
        <w:left w:w="0" w:type="dxa"/>
        <w:top w:w="0" w:type="dxa"/>
        <w:right w:w="0" w:type="dxa"/>
        <w:bottom w:w="0" w:type="dxa"/>
      </w:tblCellMar>
    </w:tblPr>
  </w:style>
  <w:style w:type="table" w:styleId="902" w:customStyle="1">
    <w:name w:val="Grid Table 4 - Accent 1"/>
    <w:uiPriority w:val="59"/>
    <w:qFormat/>
    <w:tblPr>
      <w:tblCellMar>
        <w:left w:w="0" w:type="dxa"/>
        <w:top w:w="0" w:type="dxa"/>
        <w:right w:w="0" w:type="dxa"/>
        <w:bottom w:w="0" w:type="dxa"/>
      </w:tblCellMar>
    </w:tblPr>
  </w:style>
  <w:style w:type="table" w:styleId="903" w:customStyle="1">
    <w:name w:val="Grid Table 4 - Accent 2"/>
    <w:uiPriority w:val="59"/>
    <w:qFormat/>
    <w:tblPr>
      <w:tblCellMar>
        <w:left w:w="0" w:type="dxa"/>
        <w:top w:w="0" w:type="dxa"/>
        <w:right w:w="0" w:type="dxa"/>
        <w:bottom w:w="0" w:type="dxa"/>
      </w:tblCellMar>
    </w:tblPr>
  </w:style>
  <w:style w:type="table" w:styleId="904" w:customStyle="1">
    <w:name w:val="Grid Table 4 - Accent 3"/>
    <w:uiPriority w:val="59"/>
    <w:qFormat/>
    <w:tblPr>
      <w:tblCellMar>
        <w:left w:w="0" w:type="dxa"/>
        <w:top w:w="0" w:type="dxa"/>
        <w:right w:w="0" w:type="dxa"/>
        <w:bottom w:w="0" w:type="dxa"/>
      </w:tblCellMar>
    </w:tblPr>
  </w:style>
  <w:style w:type="table" w:styleId="905" w:customStyle="1">
    <w:name w:val="Grid Table 4 - Accent 4"/>
    <w:uiPriority w:val="59"/>
    <w:qFormat/>
    <w:tblPr>
      <w:tblCellMar>
        <w:left w:w="0" w:type="dxa"/>
        <w:top w:w="0" w:type="dxa"/>
        <w:right w:w="0" w:type="dxa"/>
        <w:bottom w:w="0" w:type="dxa"/>
      </w:tblCellMar>
    </w:tblPr>
  </w:style>
  <w:style w:type="table" w:styleId="906" w:customStyle="1">
    <w:name w:val="Grid Table 4 - Accent 5"/>
    <w:uiPriority w:val="59"/>
    <w:qFormat/>
    <w:tblPr>
      <w:tblCellMar>
        <w:left w:w="0" w:type="dxa"/>
        <w:top w:w="0" w:type="dxa"/>
        <w:right w:w="0" w:type="dxa"/>
        <w:bottom w:w="0" w:type="dxa"/>
      </w:tblCellMar>
    </w:tblPr>
  </w:style>
  <w:style w:type="table" w:styleId="907" w:customStyle="1">
    <w:name w:val="Grid Table 4 - Accent 6"/>
    <w:uiPriority w:val="59"/>
    <w:qFormat/>
    <w:tblPr>
      <w:tblCellMar>
        <w:left w:w="0" w:type="dxa"/>
        <w:top w:w="0" w:type="dxa"/>
        <w:right w:w="0" w:type="dxa"/>
        <w:bottom w:w="0" w:type="dxa"/>
      </w:tblCellMar>
    </w:tblPr>
  </w:style>
  <w:style w:type="table" w:styleId="908" w:customStyle="1">
    <w:name w:val="网格表 5 深色1"/>
    <w:uiPriority w:val="99"/>
    <w:qFormat/>
    <w:tblPr>
      <w:tblCellMar>
        <w:left w:w="0" w:type="dxa"/>
        <w:top w:w="0" w:type="dxa"/>
        <w:right w:w="0" w:type="dxa"/>
        <w:bottom w:w="0" w:type="dxa"/>
      </w:tblCellMar>
    </w:tblPr>
  </w:style>
  <w:style w:type="table" w:styleId="909" w:customStyle="1">
    <w:name w:val="Grid Table 5 Dark- Accent 1"/>
    <w:uiPriority w:val="99"/>
    <w:qFormat/>
    <w:tblPr>
      <w:tblCellMar>
        <w:left w:w="0" w:type="dxa"/>
        <w:top w:w="0" w:type="dxa"/>
        <w:right w:w="0" w:type="dxa"/>
        <w:bottom w:w="0" w:type="dxa"/>
      </w:tblCellMar>
    </w:tblPr>
  </w:style>
  <w:style w:type="table" w:styleId="910" w:customStyle="1">
    <w:name w:val="Grid Table 5 Dark - Accent 2"/>
    <w:uiPriority w:val="99"/>
    <w:qFormat/>
    <w:tblPr>
      <w:tblCellMar>
        <w:left w:w="0" w:type="dxa"/>
        <w:top w:w="0" w:type="dxa"/>
        <w:right w:w="0" w:type="dxa"/>
        <w:bottom w:w="0" w:type="dxa"/>
      </w:tblCellMar>
    </w:tblPr>
  </w:style>
  <w:style w:type="table" w:styleId="911" w:customStyle="1">
    <w:name w:val="Grid Table 5 Dark - Accent 3"/>
    <w:uiPriority w:val="99"/>
    <w:qFormat/>
    <w:tblPr>
      <w:tblCellMar>
        <w:left w:w="0" w:type="dxa"/>
        <w:top w:w="0" w:type="dxa"/>
        <w:right w:w="0" w:type="dxa"/>
        <w:bottom w:w="0" w:type="dxa"/>
      </w:tblCellMar>
    </w:tblPr>
  </w:style>
  <w:style w:type="table" w:styleId="912" w:customStyle="1">
    <w:name w:val="Grid Table 5 Dark- Accent 4"/>
    <w:uiPriority w:val="99"/>
    <w:qFormat/>
    <w:tblPr>
      <w:tblCellMar>
        <w:left w:w="0" w:type="dxa"/>
        <w:top w:w="0" w:type="dxa"/>
        <w:right w:w="0" w:type="dxa"/>
        <w:bottom w:w="0" w:type="dxa"/>
      </w:tblCellMar>
    </w:tblPr>
  </w:style>
  <w:style w:type="table" w:styleId="913" w:customStyle="1">
    <w:name w:val="Grid Table 5 Dark - Accent 5"/>
    <w:uiPriority w:val="99"/>
    <w:qFormat/>
    <w:tblPr>
      <w:tblCellMar>
        <w:left w:w="0" w:type="dxa"/>
        <w:top w:w="0" w:type="dxa"/>
        <w:right w:w="0" w:type="dxa"/>
        <w:bottom w:w="0" w:type="dxa"/>
      </w:tblCellMar>
    </w:tblPr>
  </w:style>
  <w:style w:type="table" w:styleId="914" w:customStyle="1">
    <w:name w:val="Grid Table 5 Dark - Accent 6"/>
    <w:uiPriority w:val="99"/>
    <w:qFormat/>
    <w:tblPr>
      <w:tblCellMar>
        <w:left w:w="0" w:type="dxa"/>
        <w:top w:w="0" w:type="dxa"/>
        <w:right w:w="0" w:type="dxa"/>
        <w:bottom w:w="0" w:type="dxa"/>
      </w:tblCellMar>
    </w:tblPr>
  </w:style>
  <w:style w:type="table" w:styleId="915" w:customStyle="1">
    <w:name w:val="网格表 6 彩色1"/>
    <w:uiPriority w:val="99"/>
    <w:qFormat/>
    <w:tblPr>
      <w:tblCellMar>
        <w:left w:w="0" w:type="dxa"/>
        <w:top w:w="0" w:type="dxa"/>
        <w:right w:w="0" w:type="dxa"/>
        <w:bottom w:w="0" w:type="dxa"/>
      </w:tblCellMar>
    </w:tblPr>
  </w:style>
  <w:style w:type="table" w:styleId="916" w:customStyle="1">
    <w:name w:val="Grid Table 6 Colorful - Accent 1"/>
    <w:uiPriority w:val="99"/>
    <w:qFormat/>
    <w:tblPr>
      <w:tblCellMar>
        <w:left w:w="0" w:type="dxa"/>
        <w:top w:w="0" w:type="dxa"/>
        <w:right w:w="0" w:type="dxa"/>
        <w:bottom w:w="0" w:type="dxa"/>
      </w:tblCellMar>
    </w:tblPr>
  </w:style>
  <w:style w:type="table" w:styleId="917" w:customStyle="1">
    <w:name w:val="Grid Table 6 Colorful - Accent 2"/>
    <w:uiPriority w:val="99"/>
    <w:qFormat/>
    <w:tblPr>
      <w:tblCellMar>
        <w:left w:w="0" w:type="dxa"/>
        <w:top w:w="0" w:type="dxa"/>
        <w:right w:w="0" w:type="dxa"/>
        <w:bottom w:w="0" w:type="dxa"/>
      </w:tblCellMar>
    </w:tblPr>
  </w:style>
  <w:style w:type="table" w:styleId="918" w:customStyle="1">
    <w:name w:val="Grid Table 6 Colorful - Accent 3"/>
    <w:uiPriority w:val="99"/>
    <w:qFormat/>
    <w:tblPr>
      <w:tblCellMar>
        <w:left w:w="0" w:type="dxa"/>
        <w:top w:w="0" w:type="dxa"/>
        <w:right w:w="0" w:type="dxa"/>
        <w:bottom w:w="0" w:type="dxa"/>
      </w:tblCellMar>
    </w:tblPr>
  </w:style>
  <w:style w:type="table" w:styleId="919" w:customStyle="1">
    <w:name w:val="Grid Table 6 Colorful - Accent 4"/>
    <w:uiPriority w:val="99"/>
    <w:qFormat/>
    <w:tblPr>
      <w:tblCellMar>
        <w:left w:w="0" w:type="dxa"/>
        <w:top w:w="0" w:type="dxa"/>
        <w:right w:w="0" w:type="dxa"/>
        <w:bottom w:w="0" w:type="dxa"/>
      </w:tblCellMar>
    </w:tblPr>
  </w:style>
  <w:style w:type="table" w:styleId="920" w:customStyle="1">
    <w:name w:val="Grid Table 6 Colorful - Accent 5"/>
    <w:uiPriority w:val="99"/>
    <w:qFormat/>
    <w:tblPr>
      <w:tblCellMar>
        <w:left w:w="0" w:type="dxa"/>
        <w:top w:w="0" w:type="dxa"/>
        <w:right w:w="0" w:type="dxa"/>
        <w:bottom w:w="0" w:type="dxa"/>
      </w:tblCellMar>
    </w:tblPr>
  </w:style>
  <w:style w:type="table" w:styleId="921" w:customStyle="1">
    <w:name w:val="Grid Table 6 Colorful - Accent 6"/>
    <w:uiPriority w:val="99"/>
    <w:qFormat/>
    <w:tblPr>
      <w:tblCellMar>
        <w:left w:w="0" w:type="dxa"/>
        <w:top w:w="0" w:type="dxa"/>
        <w:right w:w="0" w:type="dxa"/>
        <w:bottom w:w="0" w:type="dxa"/>
      </w:tblCellMar>
    </w:tblPr>
  </w:style>
  <w:style w:type="table" w:styleId="922" w:customStyle="1">
    <w:name w:val="网格表 7 彩色1"/>
    <w:uiPriority w:val="99"/>
    <w:qFormat/>
    <w:tblPr>
      <w:tblCellMar>
        <w:left w:w="0" w:type="dxa"/>
        <w:top w:w="0" w:type="dxa"/>
        <w:right w:w="0" w:type="dxa"/>
        <w:bottom w:w="0" w:type="dxa"/>
      </w:tblCellMar>
    </w:tblPr>
  </w:style>
  <w:style w:type="table" w:styleId="923" w:customStyle="1">
    <w:name w:val="Grid Table 7 Colorful - Accent 1"/>
    <w:uiPriority w:val="99"/>
    <w:qFormat/>
    <w:tblPr>
      <w:tblCellMar>
        <w:left w:w="0" w:type="dxa"/>
        <w:top w:w="0" w:type="dxa"/>
        <w:right w:w="0" w:type="dxa"/>
        <w:bottom w:w="0" w:type="dxa"/>
      </w:tblCellMar>
    </w:tblPr>
  </w:style>
  <w:style w:type="table" w:styleId="924" w:customStyle="1">
    <w:name w:val="Grid Table 7 Colorful - Accent 2"/>
    <w:uiPriority w:val="99"/>
    <w:qFormat/>
    <w:tblPr>
      <w:tblCellMar>
        <w:left w:w="0" w:type="dxa"/>
        <w:top w:w="0" w:type="dxa"/>
        <w:right w:w="0" w:type="dxa"/>
        <w:bottom w:w="0" w:type="dxa"/>
      </w:tblCellMar>
    </w:tblPr>
  </w:style>
  <w:style w:type="table" w:styleId="925" w:customStyle="1">
    <w:name w:val="Grid Table 7 Colorful - Accent 3"/>
    <w:uiPriority w:val="99"/>
    <w:qFormat/>
    <w:tblPr>
      <w:tblCellMar>
        <w:left w:w="0" w:type="dxa"/>
        <w:top w:w="0" w:type="dxa"/>
        <w:right w:w="0" w:type="dxa"/>
        <w:bottom w:w="0" w:type="dxa"/>
      </w:tblCellMar>
    </w:tblPr>
  </w:style>
  <w:style w:type="table" w:styleId="926" w:customStyle="1">
    <w:name w:val="Grid Table 7 Colorful - Accent 4"/>
    <w:uiPriority w:val="99"/>
    <w:qFormat/>
    <w:tblPr>
      <w:tblCellMar>
        <w:left w:w="0" w:type="dxa"/>
        <w:top w:w="0" w:type="dxa"/>
        <w:right w:w="0" w:type="dxa"/>
        <w:bottom w:w="0" w:type="dxa"/>
      </w:tblCellMar>
    </w:tblPr>
  </w:style>
  <w:style w:type="table" w:styleId="927" w:customStyle="1">
    <w:name w:val="Grid Table 7 Colorful - Accent 5"/>
    <w:uiPriority w:val="99"/>
    <w:qFormat/>
    <w:tblPr>
      <w:tblCellMar>
        <w:left w:w="0" w:type="dxa"/>
        <w:top w:w="0" w:type="dxa"/>
        <w:right w:w="0" w:type="dxa"/>
        <w:bottom w:w="0" w:type="dxa"/>
      </w:tblCellMar>
    </w:tblPr>
  </w:style>
  <w:style w:type="table" w:styleId="928" w:customStyle="1">
    <w:name w:val="Grid Table 7 Colorful - Accent 6"/>
    <w:uiPriority w:val="99"/>
    <w:qFormat/>
    <w:tblPr>
      <w:tblCellMar>
        <w:left w:w="0" w:type="dxa"/>
        <w:top w:w="0" w:type="dxa"/>
        <w:right w:w="0" w:type="dxa"/>
        <w:bottom w:w="0" w:type="dxa"/>
      </w:tblCellMar>
    </w:tblPr>
  </w:style>
  <w:style w:type="table" w:styleId="929" w:customStyle="1">
    <w:name w:val="清单表 1 浅色1"/>
    <w:uiPriority w:val="99"/>
    <w:qFormat/>
    <w:tblPr>
      <w:tblCellMar>
        <w:left w:w="0" w:type="dxa"/>
        <w:top w:w="0" w:type="dxa"/>
        <w:right w:w="0" w:type="dxa"/>
        <w:bottom w:w="0" w:type="dxa"/>
      </w:tblCellMar>
    </w:tblPr>
  </w:style>
  <w:style w:type="table" w:styleId="930" w:customStyle="1">
    <w:name w:val="List Table 1 Light - Accent 1"/>
    <w:uiPriority w:val="99"/>
    <w:qFormat/>
    <w:tblPr>
      <w:tblCellMar>
        <w:left w:w="0" w:type="dxa"/>
        <w:top w:w="0" w:type="dxa"/>
        <w:right w:w="0" w:type="dxa"/>
        <w:bottom w:w="0" w:type="dxa"/>
      </w:tblCellMar>
    </w:tblPr>
  </w:style>
  <w:style w:type="table" w:styleId="931" w:customStyle="1">
    <w:name w:val="List Table 1 Light - Accent 2"/>
    <w:uiPriority w:val="99"/>
    <w:qFormat/>
    <w:tblPr>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List Table 1 Light - Accent 4"/>
    <w:uiPriority w:val="99"/>
    <w:qFormat/>
    <w:tblPr>
      <w:tblCellMar>
        <w:left w:w="0" w:type="dxa"/>
        <w:top w:w="0" w:type="dxa"/>
        <w:right w:w="0" w:type="dxa"/>
        <w:bottom w:w="0" w:type="dxa"/>
      </w:tblCellMar>
    </w:tblPr>
  </w:style>
  <w:style w:type="table" w:styleId="934" w:customStyle="1">
    <w:name w:val="List Table 1 Light - Accent 5"/>
    <w:uiPriority w:val="99"/>
    <w:qFormat/>
    <w:tblPr>
      <w:tblCellMar>
        <w:left w:w="0" w:type="dxa"/>
        <w:top w:w="0" w:type="dxa"/>
        <w:right w:w="0" w:type="dxa"/>
        <w:bottom w:w="0" w:type="dxa"/>
      </w:tblCellMar>
    </w:tblPr>
  </w:style>
  <w:style w:type="table" w:styleId="935" w:customStyle="1">
    <w:name w:val="List Table 1 Light - Accent 6"/>
    <w:uiPriority w:val="99"/>
    <w:qFormat/>
    <w:tblPr>
      <w:tblCellMar>
        <w:left w:w="0" w:type="dxa"/>
        <w:top w:w="0" w:type="dxa"/>
        <w:right w:w="0" w:type="dxa"/>
        <w:bottom w:w="0" w:type="dxa"/>
      </w:tblCellMar>
    </w:tblPr>
  </w:style>
  <w:style w:type="table" w:styleId="936" w:customStyle="1">
    <w:name w:val="清单表 21"/>
    <w:uiPriority w:val="99"/>
    <w:qFormat/>
    <w:tblPr>
      <w:tblCellMar>
        <w:left w:w="0" w:type="dxa"/>
        <w:top w:w="0" w:type="dxa"/>
        <w:right w:w="0" w:type="dxa"/>
        <w:bottom w:w="0" w:type="dxa"/>
      </w:tblCellMar>
    </w:tblPr>
  </w:style>
  <w:style w:type="table" w:styleId="937" w:customStyle="1">
    <w:name w:val="List Table 2 - Accent 1"/>
    <w:uiPriority w:val="99"/>
    <w:qFormat/>
    <w:tblPr>
      <w:tblCellMar>
        <w:left w:w="0" w:type="dxa"/>
        <w:top w:w="0" w:type="dxa"/>
        <w:right w:w="0" w:type="dxa"/>
        <w:bottom w:w="0" w:type="dxa"/>
      </w:tblCellMar>
    </w:tblPr>
  </w:style>
  <w:style w:type="table" w:styleId="938" w:customStyle="1">
    <w:name w:val="List Table 2 - Accent 2"/>
    <w:uiPriority w:val="99"/>
    <w:qFormat/>
    <w:tblPr>
      <w:tblCellMar>
        <w:left w:w="0" w:type="dxa"/>
        <w:top w:w="0" w:type="dxa"/>
        <w:right w:w="0" w:type="dxa"/>
        <w:bottom w:w="0" w:type="dxa"/>
      </w:tblCellMar>
    </w:tblPr>
  </w:style>
  <w:style w:type="table" w:styleId="939" w:customStyle="1">
    <w:name w:val="List Table 2 - Accent 3"/>
    <w:uiPriority w:val="99"/>
    <w:qFormat/>
    <w:tblPr>
      <w:tblCellMar>
        <w:left w:w="0" w:type="dxa"/>
        <w:top w:w="0" w:type="dxa"/>
        <w:right w:w="0" w:type="dxa"/>
        <w:bottom w:w="0" w:type="dxa"/>
      </w:tblCellMar>
    </w:tblPr>
  </w:style>
  <w:style w:type="table" w:styleId="940" w:customStyle="1">
    <w:name w:val="List Table 2 - Accent 4"/>
    <w:uiPriority w:val="99"/>
    <w:qFormat/>
    <w:tblPr>
      <w:tblCellMar>
        <w:left w:w="0" w:type="dxa"/>
        <w:top w:w="0" w:type="dxa"/>
        <w:right w:w="0" w:type="dxa"/>
        <w:bottom w:w="0" w:type="dxa"/>
      </w:tblCellMar>
    </w:tblPr>
  </w:style>
  <w:style w:type="table" w:styleId="941" w:customStyle="1">
    <w:name w:val="List Table 2 - Accent 5"/>
    <w:uiPriority w:val="99"/>
    <w:qFormat/>
    <w:tblPr>
      <w:tblCellMar>
        <w:left w:w="0" w:type="dxa"/>
        <w:top w:w="0" w:type="dxa"/>
        <w:right w:w="0" w:type="dxa"/>
        <w:bottom w:w="0" w:type="dxa"/>
      </w:tblCellMar>
    </w:tblPr>
  </w:style>
  <w:style w:type="table" w:styleId="942" w:customStyle="1">
    <w:name w:val="List Table 2 - Accent 6"/>
    <w:uiPriority w:val="99"/>
    <w:qFormat/>
    <w:tblPr>
      <w:tblCellMar>
        <w:left w:w="0" w:type="dxa"/>
        <w:top w:w="0" w:type="dxa"/>
        <w:right w:w="0" w:type="dxa"/>
        <w:bottom w:w="0" w:type="dxa"/>
      </w:tblCellMar>
    </w:tblPr>
  </w:style>
  <w:style w:type="table" w:styleId="943" w:customStyle="1">
    <w:name w:val="清单表 31"/>
    <w:uiPriority w:val="99"/>
    <w:qFormat/>
    <w:tblPr>
      <w:tblCellMar>
        <w:left w:w="0" w:type="dxa"/>
        <w:top w:w="0" w:type="dxa"/>
        <w:right w:w="0" w:type="dxa"/>
        <w:bottom w:w="0" w:type="dxa"/>
      </w:tblCellMar>
    </w:tblPr>
  </w:style>
  <w:style w:type="table" w:styleId="944" w:customStyle="1">
    <w:name w:val="List Table 3 - Accent 1"/>
    <w:uiPriority w:val="99"/>
    <w:qFormat/>
    <w:tblPr>
      <w:tblCellMar>
        <w:left w:w="0" w:type="dxa"/>
        <w:top w:w="0" w:type="dxa"/>
        <w:right w:w="0" w:type="dxa"/>
        <w:bottom w:w="0" w:type="dxa"/>
      </w:tblCellMar>
    </w:tblPr>
  </w:style>
  <w:style w:type="table" w:styleId="945" w:customStyle="1">
    <w:name w:val="List Table 3 - Accent 2"/>
    <w:uiPriority w:val="99"/>
    <w:qFormat/>
    <w:tblPr>
      <w:tblCellMar>
        <w:left w:w="0" w:type="dxa"/>
        <w:top w:w="0" w:type="dxa"/>
        <w:right w:w="0" w:type="dxa"/>
        <w:bottom w:w="0" w:type="dxa"/>
      </w:tblCellMar>
    </w:tblPr>
  </w:style>
  <w:style w:type="table" w:styleId="946" w:customStyle="1">
    <w:name w:val="List Table 3 - Accent 3"/>
    <w:uiPriority w:val="99"/>
    <w:qFormat/>
    <w:tblPr>
      <w:tblCellMar>
        <w:left w:w="0" w:type="dxa"/>
        <w:top w:w="0" w:type="dxa"/>
        <w:right w:w="0" w:type="dxa"/>
        <w:bottom w:w="0" w:type="dxa"/>
      </w:tblCellMar>
    </w:tblPr>
  </w:style>
  <w:style w:type="table" w:styleId="947" w:customStyle="1">
    <w:name w:val="List Table 3 - Accent 4"/>
    <w:uiPriority w:val="99"/>
    <w:qFormat/>
    <w:tblPr>
      <w:tblCellMar>
        <w:left w:w="0" w:type="dxa"/>
        <w:top w:w="0" w:type="dxa"/>
        <w:right w:w="0" w:type="dxa"/>
        <w:bottom w:w="0" w:type="dxa"/>
      </w:tblCellMar>
    </w:tblPr>
  </w:style>
  <w:style w:type="table" w:styleId="948" w:customStyle="1">
    <w:name w:val="List Table 3 - Accent 5"/>
    <w:uiPriority w:val="99"/>
    <w:qFormat/>
    <w:tblPr>
      <w:tblCellMar>
        <w:left w:w="0" w:type="dxa"/>
        <w:top w:w="0" w:type="dxa"/>
        <w:right w:w="0" w:type="dxa"/>
        <w:bottom w:w="0" w:type="dxa"/>
      </w:tblCellMar>
    </w:tblPr>
  </w:style>
  <w:style w:type="table" w:styleId="949" w:customStyle="1">
    <w:name w:val="List Table 3 - Accent 6"/>
    <w:uiPriority w:val="99"/>
    <w:qFormat/>
    <w:tblPr>
      <w:tblCellMar>
        <w:left w:w="0" w:type="dxa"/>
        <w:top w:w="0" w:type="dxa"/>
        <w:right w:w="0" w:type="dxa"/>
        <w:bottom w:w="0" w:type="dxa"/>
      </w:tblCellMar>
    </w:tblPr>
  </w:style>
  <w:style w:type="table" w:styleId="950" w:customStyle="1">
    <w:name w:val="清单表 41"/>
    <w:uiPriority w:val="99"/>
    <w:qFormat/>
    <w:tblPr>
      <w:tblCellMar>
        <w:left w:w="0" w:type="dxa"/>
        <w:top w:w="0" w:type="dxa"/>
        <w:right w:w="0" w:type="dxa"/>
        <w:bottom w:w="0" w:type="dxa"/>
      </w:tblCellMar>
    </w:tblPr>
  </w:style>
  <w:style w:type="table" w:styleId="951" w:customStyle="1">
    <w:name w:val="List Table 4 - Accent 1"/>
    <w:uiPriority w:val="99"/>
    <w:qFormat/>
    <w:tblPr>
      <w:tblCellMar>
        <w:left w:w="0" w:type="dxa"/>
        <w:top w:w="0" w:type="dxa"/>
        <w:right w:w="0" w:type="dxa"/>
        <w:bottom w:w="0" w:type="dxa"/>
      </w:tblCellMar>
    </w:tblPr>
  </w:style>
  <w:style w:type="table" w:styleId="952" w:customStyle="1">
    <w:name w:val="List Table 4 - Accent 2"/>
    <w:uiPriority w:val="99"/>
    <w:qFormat/>
    <w:tblPr>
      <w:tblCellMar>
        <w:left w:w="0" w:type="dxa"/>
        <w:top w:w="0" w:type="dxa"/>
        <w:right w:w="0" w:type="dxa"/>
        <w:bottom w:w="0" w:type="dxa"/>
      </w:tblCellMar>
    </w:tblPr>
  </w:style>
  <w:style w:type="table" w:styleId="953" w:customStyle="1">
    <w:name w:val="List Table 4 - Accent 3"/>
    <w:uiPriority w:val="99"/>
    <w:qFormat/>
    <w:tblPr>
      <w:tblCellMar>
        <w:left w:w="0" w:type="dxa"/>
        <w:top w:w="0" w:type="dxa"/>
        <w:right w:w="0" w:type="dxa"/>
        <w:bottom w:w="0" w:type="dxa"/>
      </w:tblCellMar>
    </w:tblPr>
  </w:style>
  <w:style w:type="table" w:styleId="954" w:customStyle="1">
    <w:name w:val="List Table 4 - Accent 4"/>
    <w:uiPriority w:val="99"/>
    <w:qFormat/>
    <w:tblPr>
      <w:tblCellMar>
        <w:left w:w="0" w:type="dxa"/>
        <w:top w:w="0" w:type="dxa"/>
        <w:right w:w="0" w:type="dxa"/>
        <w:bottom w:w="0" w:type="dxa"/>
      </w:tblCellMar>
    </w:tblPr>
  </w:style>
  <w:style w:type="table" w:styleId="955" w:customStyle="1">
    <w:name w:val="List Table 4 - Accent 5"/>
    <w:uiPriority w:val="99"/>
    <w:qFormat/>
    <w:tblPr>
      <w:tblCellMar>
        <w:left w:w="0" w:type="dxa"/>
        <w:top w:w="0" w:type="dxa"/>
        <w:right w:w="0" w:type="dxa"/>
        <w:bottom w:w="0" w:type="dxa"/>
      </w:tblCellMar>
    </w:tblPr>
  </w:style>
  <w:style w:type="table" w:styleId="956" w:customStyle="1">
    <w:name w:val="List Table 4 - Accent 6"/>
    <w:uiPriority w:val="99"/>
    <w:qFormat/>
    <w:tblPr>
      <w:tblCellMar>
        <w:left w:w="0" w:type="dxa"/>
        <w:top w:w="0" w:type="dxa"/>
        <w:right w:w="0" w:type="dxa"/>
        <w:bottom w:w="0" w:type="dxa"/>
      </w:tblCellMar>
    </w:tblPr>
  </w:style>
  <w:style w:type="table" w:styleId="957" w:customStyle="1">
    <w:name w:val="清单表 5 深色1"/>
    <w:uiPriority w:val="99"/>
    <w:qFormat/>
    <w:tblPr>
      <w:tblCellMar>
        <w:left w:w="0" w:type="dxa"/>
        <w:top w:w="0" w:type="dxa"/>
        <w:right w:w="0" w:type="dxa"/>
        <w:bottom w:w="0" w:type="dxa"/>
      </w:tblCellMar>
    </w:tblPr>
  </w:style>
  <w:style w:type="table" w:styleId="958" w:customStyle="1">
    <w:name w:val="List Table 5 Dark - Accent 1"/>
    <w:uiPriority w:val="99"/>
    <w:qFormat/>
    <w:tblPr>
      <w:tblCellMar>
        <w:left w:w="0" w:type="dxa"/>
        <w:top w:w="0" w:type="dxa"/>
        <w:right w:w="0" w:type="dxa"/>
        <w:bottom w:w="0" w:type="dxa"/>
      </w:tblCellMar>
    </w:tblPr>
  </w:style>
  <w:style w:type="table" w:styleId="959" w:customStyle="1">
    <w:name w:val="List Table 5 Dark - Accent 2"/>
    <w:uiPriority w:val="99"/>
    <w:qFormat/>
    <w:tblPr>
      <w:tblCellMar>
        <w:left w:w="0" w:type="dxa"/>
        <w:top w:w="0" w:type="dxa"/>
        <w:right w:w="0" w:type="dxa"/>
        <w:bottom w:w="0" w:type="dxa"/>
      </w:tblCellMar>
    </w:tblPr>
  </w:style>
  <w:style w:type="table" w:styleId="960" w:customStyle="1">
    <w:name w:val="List Table 5 Dark - Accent 3"/>
    <w:uiPriority w:val="99"/>
    <w:qFormat/>
    <w:tblPr>
      <w:tblCellMar>
        <w:left w:w="0" w:type="dxa"/>
        <w:top w:w="0" w:type="dxa"/>
        <w:right w:w="0" w:type="dxa"/>
        <w:bottom w:w="0" w:type="dxa"/>
      </w:tblCellMar>
    </w:tblPr>
  </w:style>
  <w:style w:type="table" w:styleId="961" w:customStyle="1">
    <w:name w:val="List Table 5 Dark - Accent 4"/>
    <w:uiPriority w:val="99"/>
    <w:qFormat/>
    <w:tblPr>
      <w:tblCellMar>
        <w:left w:w="0" w:type="dxa"/>
        <w:top w:w="0" w:type="dxa"/>
        <w:right w:w="0" w:type="dxa"/>
        <w:bottom w:w="0" w:type="dxa"/>
      </w:tblCellMar>
    </w:tblPr>
  </w:style>
  <w:style w:type="table" w:styleId="962" w:customStyle="1">
    <w:name w:val="List Table 5 Dark - Accent 5"/>
    <w:uiPriority w:val="99"/>
    <w:qFormat/>
    <w:tblPr>
      <w:tblCellMar>
        <w:left w:w="0" w:type="dxa"/>
        <w:top w:w="0" w:type="dxa"/>
        <w:right w:w="0" w:type="dxa"/>
        <w:bottom w:w="0" w:type="dxa"/>
      </w:tblCellMar>
    </w:tblPr>
  </w:style>
  <w:style w:type="table" w:styleId="963" w:customStyle="1">
    <w:name w:val="List Table 5 Dark - Accent 6"/>
    <w:uiPriority w:val="99"/>
    <w:qFormat/>
    <w:tblPr>
      <w:tblCellMar>
        <w:left w:w="0" w:type="dxa"/>
        <w:top w:w="0" w:type="dxa"/>
        <w:right w:w="0" w:type="dxa"/>
        <w:bottom w:w="0" w:type="dxa"/>
      </w:tblCellMar>
    </w:tblPr>
  </w:style>
  <w:style w:type="table" w:styleId="964" w:customStyle="1">
    <w:name w:val="清单表 6 彩色1"/>
    <w:uiPriority w:val="99"/>
    <w:qFormat/>
    <w:tblPr>
      <w:tblCellMar>
        <w:left w:w="0" w:type="dxa"/>
        <w:top w:w="0" w:type="dxa"/>
        <w:right w:w="0" w:type="dxa"/>
        <w:bottom w:w="0" w:type="dxa"/>
      </w:tblCellMar>
    </w:tblPr>
  </w:style>
  <w:style w:type="table" w:styleId="965" w:customStyle="1">
    <w:name w:val="List Table 6 Colorful - Accent 1"/>
    <w:uiPriority w:val="99"/>
    <w:qFormat/>
    <w:tblPr>
      <w:tblCellMar>
        <w:left w:w="0" w:type="dxa"/>
        <w:top w:w="0" w:type="dxa"/>
        <w:right w:w="0" w:type="dxa"/>
        <w:bottom w:w="0" w:type="dxa"/>
      </w:tblCellMar>
    </w:tblPr>
  </w:style>
  <w:style w:type="table" w:styleId="966" w:customStyle="1">
    <w:name w:val="List Table 6 Colorful - Accent 2"/>
    <w:uiPriority w:val="99"/>
    <w:qFormat/>
    <w:tblPr>
      <w:tblCellMar>
        <w:left w:w="0" w:type="dxa"/>
        <w:top w:w="0" w:type="dxa"/>
        <w:right w:w="0" w:type="dxa"/>
        <w:bottom w:w="0" w:type="dxa"/>
      </w:tblCellMar>
    </w:tblPr>
  </w:style>
  <w:style w:type="table" w:styleId="967" w:customStyle="1">
    <w:name w:val="List Table 6 Colorful - Accent 3"/>
    <w:uiPriority w:val="99"/>
    <w:qFormat/>
    <w:tblPr>
      <w:tblCellMar>
        <w:left w:w="0" w:type="dxa"/>
        <w:top w:w="0" w:type="dxa"/>
        <w:right w:w="0" w:type="dxa"/>
        <w:bottom w:w="0" w:type="dxa"/>
      </w:tblCellMar>
    </w:tblPr>
  </w:style>
  <w:style w:type="table" w:styleId="968" w:customStyle="1">
    <w:name w:val="List Table 6 Colorful - Accent 4"/>
    <w:uiPriority w:val="99"/>
    <w:qFormat/>
    <w:tblPr>
      <w:tblCellMar>
        <w:left w:w="0" w:type="dxa"/>
        <w:top w:w="0" w:type="dxa"/>
        <w:right w:w="0" w:type="dxa"/>
        <w:bottom w:w="0" w:type="dxa"/>
      </w:tblCellMar>
    </w:tblPr>
  </w:style>
  <w:style w:type="table" w:styleId="969" w:customStyle="1">
    <w:name w:val="List Table 6 Colorful - Accent 5"/>
    <w:uiPriority w:val="99"/>
    <w:qFormat/>
    <w:tblPr>
      <w:tblCellMar>
        <w:left w:w="0" w:type="dxa"/>
        <w:top w:w="0" w:type="dxa"/>
        <w:right w:w="0" w:type="dxa"/>
        <w:bottom w:w="0" w:type="dxa"/>
      </w:tblCellMar>
    </w:tblPr>
  </w:style>
  <w:style w:type="table" w:styleId="970" w:customStyle="1">
    <w:name w:val="List Table 6 Colorful - Accent 6"/>
    <w:uiPriority w:val="99"/>
    <w:qFormat/>
    <w:tblPr>
      <w:tblCellMar>
        <w:left w:w="0" w:type="dxa"/>
        <w:top w:w="0" w:type="dxa"/>
        <w:right w:w="0" w:type="dxa"/>
        <w:bottom w:w="0" w:type="dxa"/>
      </w:tblCellMar>
    </w:tblPr>
  </w:style>
  <w:style w:type="table" w:styleId="971" w:customStyle="1">
    <w:name w:val="清单表 7 彩色1"/>
    <w:uiPriority w:val="99"/>
    <w:qFormat/>
    <w:tblPr>
      <w:tblCellMar>
        <w:left w:w="0" w:type="dxa"/>
        <w:top w:w="0" w:type="dxa"/>
        <w:right w:w="0" w:type="dxa"/>
        <w:bottom w:w="0" w:type="dxa"/>
      </w:tblCellMar>
    </w:tblPr>
  </w:style>
  <w:style w:type="table" w:styleId="972" w:customStyle="1">
    <w:name w:val="List Table 7 Colorful - Accent 1"/>
    <w:uiPriority w:val="99"/>
    <w:qFormat/>
    <w:tblPr>
      <w:tblCellMar>
        <w:left w:w="0" w:type="dxa"/>
        <w:top w:w="0" w:type="dxa"/>
        <w:right w:w="0" w:type="dxa"/>
        <w:bottom w:w="0" w:type="dxa"/>
      </w:tblCellMar>
    </w:tblPr>
  </w:style>
  <w:style w:type="table" w:styleId="973" w:customStyle="1">
    <w:name w:val="List Table 7 Colorful - Accent 2"/>
    <w:uiPriority w:val="99"/>
    <w:qFormat/>
    <w:tblPr>
      <w:tblCellMar>
        <w:left w:w="0" w:type="dxa"/>
        <w:top w:w="0" w:type="dxa"/>
        <w:right w:w="0" w:type="dxa"/>
        <w:bottom w:w="0" w:type="dxa"/>
      </w:tblCellMar>
    </w:tblPr>
  </w:style>
  <w:style w:type="table" w:styleId="974" w:customStyle="1">
    <w:name w:val="List Table 7 Colorful - Accent 3"/>
    <w:uiPriority w:val="99"/>
    <w:qFormat/>
    <w:tblPr>
      <w:tblCellMar>
        <w:left w:w="0" w:type="dxa"/>
        <w:top w:w="0" w:type="dxa"/>
        <w:right w:w="0" w:type="dxa"/>
        <w:bottom w:w="0" w:type="dxa"/>
      </w:tblCellMar>
    </w:tblPr>
  </w:style>
  <w:style w:type="table" w:styleId="975" w:customStyle="1">
    <w:name w:val="List Table 7 Colorful - Accent 4"/>
    <w:uiPriority w:val="99"/>
    <w:qFormat/>
    <w:tblPr>
      <w:tblCellMar>
        <w:left w:w="0" w:type="dxa"/>
        <w:top w:w="0" w:type="dxa"/>
        <w:right w:w="0" w:type="dxa"/>
        <w:bottom w:w="0" w:type="dxa"/>
      </w:tblCellMar>
    </w:tblPr>
  </w:style>
  <w:style w:type="table" w:styleId="976" w:customStyle="1">
    <w:name w:val="List Table 7 Colorful - Accent 5"/>
    <w:uiPriority w:val="99"/>
    <w:qFormat/>
    <w:tblPr>
      <w:tblCellMar>
        <w:left w:w="0" w:type="dxa"/>
        <w:top w:w="0" w:type="dxa"/>
        <w:right w:w="0" w:type="dxa"/>
        <w:bottom w:w="0" w:type="dxa"/>
      </w:tblCellMar>
    </w:tblPr>
  </w:style>
  <w:style w:type="table" w:styleId="977" w:customStyle="1">
    <w:name w:val="List Table 7 Colorful - Accent 6"/>
    <w:uiPriority w:val="99"/>
    <w:qFormat/>
    <w:tblPr>
      <w:tblCellMar>
        <w:left w:w="0" w:type="dxa"/>
        <w:top w:w="0" w:type="dxa"/>
        <w:right w:w="0" w:type="dxa"/>
        <w:bottom w:w="0" w:type="dxa"/>
      </w:tblCellMar>
    </w:tblPr>
  </w:style>
  <w:style w:type="table" w:styleId="978" w:customStyle="1">
    <w:name w:val="Lined - Accent"/>
    <w:uiPriority w:val="99"/>
    <w:qFormat/>
    <w:rPr>
      <w:color w:val="404040"/>
    </w:rPr>
    <w:tblPr>
      <w:tblCellMar>
        <w:left w:w="0" w:type="dxa"/>
        <w:top w:w="0" w:type="dxa"/>
        <w:right w:w="0" w:type="dxa"/>
        <w:bottom w:w="0" w:type="dxa"/>
      </w:tblCellMar>
    </w:tblPr>
  </w:style>
  <w:style w:type="table" w:styleId="979" w:customStyle="1">
    <w:name w:val="Lined - Accent 1"/>
    <w:uiPriority w:val="99"/>
    <w:qFormat/>
    <w:rPr>
      <w:color w:val="404040"/>
    </w:rPr>
    <w:tblPr>
      <w:tblCellMar>
        <w:left w:w="0" w:type="dxa"/>
        <w:top w:w="0" w:type="dxa"/>
        <w:right w:w="0" w:type="dxa"/>
        <w:bottom w:w="0" w:type="dxa"/>
      </w:tblCellMar>
    </w:tblPr>
  </w:style>
  <w:style w:type="table" w:styleId="980" w:customStyle="1">
    <w:name w:val="Lined - Accent 2"/>
    <w:uiPriority w:val="99"/>
    <w:qFormat/>
    <w:rPr>
      <w:color w:val="404040"/>
    </w:rPr>
    <w:tblPr>
      <w:tblCellMar>
        <w:left w:w="0" w:type="dxa"/>
        <w:top w:w="0" w:type="dxa"/>
        <w:right w:w="0" w:type="dxa"/>
        <w:bottom w:w="0" w:type="dxa"/>
      </w:tblCellMar>
    </w:tblPr>
  </w:style>
  <w:style w:type="table" w:styleId="981" w:customStyle="1">
    <w:name w:val="Lined - Accent 3"/>
    <w:uiPriority w:val="99"/>
    <w:qFormat/>
    <w:rPr>
      <w:color w:val="404040"/>
    </w:rPr>
    <w:tblPr>
      <w:tblCellMar>
        <w:left w:w="0" w:type="dxa"/>
        <w:top w:w="0" w:type="dxa"/>
        <w:right w:w="0" w:type="dxa"/>
        <w:bottom w:w="0" w:type="dxa"/>
      </w:tblCellMar>
    </w:tblPr>
  </w:style>
  <w:style w:type="table" w:styleId="982" w:customStyle="1">
    <w:name w:val="Lined - Accent 4"/>
    <w:uiPriority w:val="99"/>
    <w:qFormat/>
    <w:rPr>
      <w:color w:val="404040"/>
    </w:rPr>
    <w:tblPr>
      <w:tblCellMar>
        <w:left w:w="0" w:type="dxa"/>
        <w:top w:w="0" w:type="dxa"/>
        <w:right w:w="0" w:type="dxa"/>
        <w:bottom w:w="0" w:type="dxa"/>
      </w:tblCellMar>
    </w:tblPr>
  </w:style>
  <w:style w:type="table" w:styleId="983" w:customStyle="1">
    <w:name w:val="Lined - Accent 5"/>
    <w:uiPriority w:val="99"/>
    <w:qFormat/>
    <w:rPr>
      <w:color w:val="404040"/>
    </w:rPr>
    <w:tblPr>
      <w:tblCellMar>
        <w:left w:w="0" w:type="dxa"/>
        <w:top w:w="0" w:type="dxa"/>
        <w:right w:w="0" w:type="dxa"/>
        <w:bottom w:w="0" w:type="dxa"/>
      </w:tblCellMar>
    </w:tblPr>
  </w:style>
  <w:style w:type="table" w:styleId="984" w:customStyle="1">
    <w:name w:val="Lined - Accent 6"/>
    <w:uiPriority w:val="99"/>
    <w:qFormat/>
    <w:rPr>
      <w:color w:val="404040"/>
    </w:rPr>
    <w:tblPr>
      <w:tblCellMar>
        <w:left w:w="0" w:type="dxa"/>
        <w:top w:w="0" w:type="dxa"/>
        <w:right w:w="0" w:type="dxa"/>
        <w:bottom w:w="0" w:type="dxa"/>
      </w:tblCellMar>
    </w:tblPr>
  </w:style>
  <w:style w:type="table" w:styleId="985" w:customStyle="1">
    <w:name w:val="Bordered &amp; Lined - Accent"/>
    <w:uiPriority w:val="99"/>
    <w:qFormat/>
    <w:rPr>
      <w:color w:val="404040"/>
    </w:rPr>
    <w:tblPr>
      <w:tblCellMar>
        <w:left w:w="0" w:type="dxa"/>
        <w:top w:w="0" w:type="dxa"/>
        <w:right w:w="0" w:type="dxa"/>
        <w:bottom w:w="0" w:type="dxa"/>
      </w:tblCellMar>
    </w:tblPr>
  </w:style>
  <w:style w:type="table" w:styleId="986" w:customStyle="1">
    <w:name w:val="Bordered &amp; Lined - Accent 1"/>
    <w:uiPriority w:val="99"/>
    <w:qFormat/>
    <w:rPr>
      <w:color w:val="404040"/>
    </w:rPr>
    <w:tblPr>
      <w:tblCellMar>
        <w:left w:w="0" w:type="dxa"/>
        <w:top w:w="0" w:type="dxa"/>
        <w:right w:w="0" w:type="dxa"/>
        <w:bottom w:w="0" w:type="dxa"/>
      </w:tblCellMar>
    </w:tblPr>
  </w:style>
  <w:style w:type="table" w:styleId="987" w:customStyle="1">
    <w:name w:val="Bordered &amp; Lined - Accent 2"/>
    <w:uiPriority w:val="99"/>
    <w:qFormat/>
    <w:rPr>
      <w:color w:val="404040"/>
    </w:rPr>
    <w:tblPr>
      <w:tblCellMar>
        <w:left w:w="0" w:type="dxa"/>
        <w:top w:w="0" w:type="dxa"/>
        <w:right w:w="0" w:type="dxa"/>
        <w:bottom w:w="0" w:type="dxa"/>
      </w:tblCellMar>
    </w:tblPr>
  </w:style>
  <w:style w:type="table" w:styleId="988" w:customStyle="1">
    <w:name w:val="Bordered &amp; Lined - Accent 3"/>
    <w:uiPriority w:val="99"/>
    <w:qFormat/>
    <w:rPr>
      <w:color w:val="404040"/>
    </w:rPr>
    <w:tblPr>
      <w:tblCellMar>
        <w:left w:w="0" w:type="dxa"/>
        <w:top w:w="0" w:type="dxa"/>
        <w:right w:w="0" w:type="dxa"/>
        <w:bottom w:w="0" w:type="dxa"/>
      </w:tblCellMar>
    </w:tblPr>
  </w:style>
  <w:style w:type="table" w:styleId="989" w:customStyle="1">
    <w:name w:val="Bordered &amp; Lined - Accent 4"/>
    <w:uiPriority w:val="99"/>
    <w:qFormat/>
    <w:rPr>
      <w:color w:val="404040"/>
    </w:rPr>
    <w:tblPr>
      <w:tblCellMar>
        <w:left w:w="0" w:type="dxa"/>
        <w:top w:w="0" w:type="dxa"/>
        <w:right w:w="0" w:type="dxa"/>
        <w:bottom w:w="0" w:type="dxa"/>
      </w:tblCellMar>
    </w:tblPr>
  </w:style>
  <w:style w:type="table" w:styleId="990" w:customStyle="1">
    <w:name w:val="Bordered &amp; Lined - Accent 5"/>
    <w:uiPriority w:val="99"/>
    <w:qFormat/>
    <w:rPr>
      <w:color w:val="404040"/>
    </w:rPr>
    <w:tblPr>
      <w:tblCellMar>
        <w:left w:w="0" w:type="dxa"/>
        <w:top w:w="0" w:type="dxa"/>
        <w:right w:w="0" w:type="dxa"/>
        <w:bottom w:w="0" w:type="dxa"/>
      </w:tblCellMar>
    </w:tblPr>
  </w:style>
  <w:style w:type="table" w:styleId="991" w:customStyle="1">
    <w:name w:val="Bordered &amp; Lined - Accent 6"/>
    <w:uiPriority w:val="99"/>
    <w:qFormat/>
    <w:rPr>
      <w:color w:val="404040"/>
    </w:rPr>
    <w:tblPr>
      <w:tblCellMar>
        <w:left w:w="0" w:type="dxa"/>
        <w:top w:w="0" w:type="dxa"/>
        <w:right w:w="0" w:type="dxa"/>
        <w:bottom w:w="0" w:type="dxa"/>
      </w:tblCellMar>
    </w:tblPr>
  </w:style>
  <w:style w:type="table" w:styleId="992" w:customStyle="1">
    <w:name w:val="Bordered"/>
    <w:uiPriority w:val="99"/>
    <w:qFormat/>
    <w:tblPr>
      <w:tblCellMar>
        <w:left w:w="0" w:type="dxa"/>
        <w:top w:w="0" w:type="dxa"/>
        <w:right w:w="0" w:type="dxa"/>
        <w:bottom w:w="0" w:type="dxa"/>
      </w:tblCellMar>
    </w:tblPr>
  </w:style>
  <w:style w:type="table" w:styleId="993" w:customStyle="1">
    <w:name w:val="Bordered - Accent 1"/>
    <w:uiPriority w:val="99"/>
    <w:qFormat/>
    <w:tblPr>
      <w:tblCellMar>
        <w:left w:w="0" w:type="dxa"/>
        <w:top w:w="0" w:type="dxa"/>
        <w:right w:w="0" w:type="dxa"/>
        <w:bottom w:w="0" w:type="dxa"/>
      </w:tblCellMar>
    </w:tblPr>
  </w:style>
  <w:style w:type="table" w:styleId="994" w:customStyle="1">
    <w:name w:val="Bordered - Accent 2"/>
    <w:uiPriority w:val="99"/>
    <w:qFormat/>
    <w:tblPr>
      <w:tblCellMar>
        <w:left w:w="0" w:type="dxa"/>
        <w:top w:w="0" w:type="dxa"/>
        <w:right w:w="0" w:type="dxa"/>
        <w:bottom w:w="0" w:type="dxa"/>
      </w:tblCellMar>
    </w:tblPr>
  </w:style>
  <w:style w:type="table" w:styleId="995" w:customStyle="1">
    <w:name w:val="Bordered - Accent 3"/>
    <w:uiPriority w:val="99"/>
    <w:qFormat/>
    <w:tblPr>
      <w:tblCellMar>
        <w:left w:w="0" w:type="dxa"/>
        <w:top w:w="0" w:type="dxa"/>
        <w:right w:w="0" w:type="dxa"/>
        <w:bottom w:w="0" w:type="dxa"/>
      </w:tblCellMar>
    </w:tblPr>
  </w:style>
  <w:style w:type="table" w:styleId="996" w:customStyle="1">
    <w:name w:val="Bordered - Accent 4"/>
    <w:uiPriority w:val="99"/>
    <w:qFormat/>
    <w:tblPr>
      <w:tblCellMar>
        <w:left w:w="0" w:type="dxa"/>
        <w:top w:w="0" w:type="dxa"/>
        <w:right w:w="0" w:type="dxa"/>
        <w:bottom w:w="0" w:type="dxa"/>
      </w:tblCellMar>
    </w:tblPr>
  </w:style>
  <w:style w:type="table" w:styleId="997" w:customStyle="1">
    <w:name w:val="Bordered - Accent 5"/>
    <w:uiPriority w:val="99"/>
    <w:qFormat/>
    <w:tblPr>
      <w:tblCellMar>
        <w:left w:w="0" w:type="dxa"/>
        <w:top w:w="0" w:type="dxa"/>
        <w:right w:w="0" w:type="dxa"/>
        <w:bottom w:w="0" w:type="dxa"/>
      </w:tblCellMar>
    </w:tblPr>
  </w:style>
  <w:style w:type="table" w:styleId="998" w:customStyle="1">
    <w:name w:val="Bordered - Accent 6"/>
    <w:uiPriority w:val="99"/>
    <w:qFormat/>
    <w:tblPr>
      <w:tblCellMar>
        <w:left w:w="0" w:type="dxa"/>
        <w:top w:w="0" w:type="dxa"/>
        <w:right w:w="0" w:type="dxa"/>
        <w:bottom w:w="0" w:type="dxa"/>
      </w:tblCellMar>
    </w:tblPr>
  </w:style>
  <w:style w:type="paragraph" w:styleId="999" w:customStyle="1">
    <w:name w:val="TOC 标题1"/>
    <w:uiPriority w:val="39"/>
    <w:unhideWhenUsed/>
    <w:qFormat/>
    <w:rPr>
      <w:rFonts w:hint="default" w:ascii="Times New Roman" w:hAnsi="Times New Roman" w:eastAsia="宋体" w:cs="Times New Roman"/>
    </w:rPr>
  </w:style>
  <w:style w:type="paragraph" w:styleId="1000" w:customStyle="1">
    <w:name w:val="标题 11"/>
    <w:basedOn w:val="770"/>
    <w:next w:val="770"/>
    <w:link w:val="1001"/>
    <w:uiPriority w:val="9"/>
    <w:qFormat/>
    <w:pPr>
      <w:keepLines/>
      <w:keepNext/>
      <w:spacing w:before="340" w:after="330" w:line="578" w:lineRule="atLeast"/>
      <w:outlineLvl w:val="0"/>
    </w:pPr>
    <w:rPr>
      <w:b/>
      <w:bCs/>
      <w:sz w:val="44"/>
      <w:szCs w:val="44"/>
      <w:lang w:eastAsia="en-US"/>
    </w:rPr>
  </w:style>
  <w:style w:type="character" w:styleId="1001" w:customStyle="1">
    <w:name w:val="标题 1 Char"/>
    <w:link w:val="1000"/>
    <w:uiPriority w:val="9"/>
    <w:qFormat/>
    <w:rPr>
      <w:b/>
      <w:bCs/>
      <w:sz w:val="44"/>
      <w:szCs w:val="44"/>
    </w:rPr>
  </w:style>
  <w:style w:type="paragraph" w:styleId="1002" w:customStyle="1">
    <w:name w:val="标题 21"/>
    <w:basedOn w:val="770"/>
    <w:next w:val="770"/>
    <w:link w:val="1003"/>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1003" w:customStyle="1">
    <w:name w:val="标题 2 Char"/>
    <w:link w:val="1002"/>
    <w:uiPriority w:val="9"/>
    <w:qFormat/>
    <w:rPr>
      <w:rFonts w:ascii="幼圆" w:hAnsi="Arial" w:eastAsia="楷体_GB2312" w:cs="Times New Roman"/>
      <w:b/>
      <w:sz w:val="24"/>
      <w:szCs w:val="20"/>
    </w:rPr>
  </w:style>
  <w:style w:type="paragraph" w:styleId="1004" w:customStyle="1">
    <w:name w:val="标题 31"/>
    <w:basedOn w:val="770"/>
    <w:next w:val="770"/>
    <w:link w:val="1005"/>
    <w:uiPriority w:val="9"/>
    <w:qFormat/>
    <w:pPr>
      <w:keepLines/>
      <w:keepNext/>
      <w:spacing w:before="260" w:after="260" w:line="416" w:lineRule="atLeast"/>
      <w:outlineLvl w:val="2"/>
    </w:pPr>
    <w:rPr>
      <w:b/>
      <w:bCs/>
      <w:sz w:val="32"/>
      <w:szCs w:val="32"/>
      <w:lang w:eastAsia="en-US"/>
    </w:rPr>
  </w:style>
  <w:style w:type="character" w:styleId="1005" w:customStyle="1">
    <w:name w:val="标题 3 Char"/>
    <w:link w:val="1004"/>
    <w:uiPriority w:val="9"/>
    <w:qFormat/>
    <w:rPr>
      <w:b/>
      <w:bCs/>
      <w:sz w:val="32"/>
      <w:szCs w:val="32"/>
    </w:rPr>
  </w:style>
  <w:style w:type="paragraph" w:styleId="1006" w:customStyle="1">
    <w:name w:val="标题 41"/>
    <w:basedOn w:val="770"/>
    <w:next w:val="770"/>
    <w:uiPriority w:val="0"/>
    <w:qFormat/>
    <w:pPr>
      <w:keepLines/>
      <w:keepNext/>
      <w:spacing w:before="280" w:after="290" w:line="376" w:lineRule="auto"/>
      <w:outlineLvl w:val="3"/>
    </w:pPr>
    <w:rPr>
      <w:rFonts w:ascii="Arial" w:hAnsi="Arial" w:eastAsia="黑体"/>
      <w:b/>
      <w:bCs/>
      <w:sz w:val="28"/>
      <w:szCs w:val="28"/>
    </w:rPr>
  </w:style>
  <w:style w:type="paragraph" w:styleId="1007" w:customStyle="1">
    <w:name w:val="标题 71"/>
    <w:basedOn w:val="770"/>
    <w:next w:val="770"/>
    <w:link w:val="1008"/>
    <w:uiPriority w:val="9"/>
    <w:qFormat/>
    <w:pPr>
      <w:keepLines/>
      <w:keepNext/>
      <w:spacing w:before="240" w:after="64" w:line="320" w:lineRule="atLeast"/>
      <w:outlineLvl w:val="6"/>
    </w:pPr>
    <w:rPr>
      <w:b/>
      <w:bCs/>
      <w:sz w:val="24"/>
      <w:szCs w:val="24"/>
      <w:lang w:eastAsia="en-US"/>
    </w:rPr>
  </w:style>
  <w:style w:type="character" w:styleId="1008" w:customStyle="1">
    <w:name w:val="标题 7 Char"/>
    <w:link w:val="1007"/>
    <w:uiPriority w:val="9"/>
    <w:semiHidden/>
    <w:qFormat/>
    <w:rPr>
      <w:b/>
      <w:bCs/>
      <w:sz w:val="24"/>
      <w:szCs w:val="24"/>
    </w:rPr>
  </w:style>
  <w:style w:type="character" w:styleId="1009" w:customStyle="1">
    <w:name w:val="默认段落字体11"/>
    <w:uiPriority w:val="1"/>
    <w:unhideWhenUsed/>
    <w:qFormat/>
  </w:style>
  <w:style w:type="table" w:styleId="1010" w:customStyle="1">
    <w:name w:val="普通表格1"/>
    <w:uiPriority w:val="99"/>
    <w:unhideWhenUsed/>
    <w:qFormat/>
    <w:tblPr>
      <w:tblCellMar>
        <w:left w:w="0" w:type="dxa"/>
        <w:top w:w="0" w:type="dxa"/>
        <w:right w:w="0" w:type="dxa"/>
        <w:bottom w:w="0" w:type="dxa"/>
      </w:tblCellMar>
    </w:tblPr>
  </w:style>
  <w:style w:type="paragraph" w:styleId="1011" w:customStyle="1">
    <w:name w:val="列表 31"/>
    <w:basedOn w:val="770"/>
    <w:uiPriority w:val="0"/>
    <w:qFormat/>
    <w:pPr>
      <w:ind w:left="100" w:hanging="200"/>
    </w:pPr>
    <w:rPr>
      <w:szCs w:val="21"/>
    </w:rPr>
  </w:style>
  <w:style w:type="paragraph" w:styleId="1012" w:customStyle="1">
    <w:name w:val="正文缩进1"/>
    <w:basedOn w:val="770"/>
    <w:link w:val="1013"/>
    <w:uiPriority w:val="0"/>
    <w:qFormat/>
    <w:pPr>
      <w:ind w:firstLine="420"/>
    </w:pPr>
    <w:rPr>
      <w:sz w:val="20"/>
      <w:szCs w:val="20"/>
      <w:lang w:eastAsia="en-US"/>
    </w:rPr>
  </w:style>
  <w:style w:type="character" w:styleId="1013" w:customStyle="1">
    <w:name w:val="正文缩进 Char"/>
    <w:link w:val="1012"/>
    <w:uiPriority w:val="0"/>
    <w:qFormat/>
    <w:rPr>
      <w:rFonts w:ascii="Times New Roman" w:hAnsi="Times New Roman" w:eastAsia="宋体" w:cs="Times New Roman"/>
      <w:szCs w:val="20"/>
    </w:rPr>
  </w:style>
  <w:style w:type="paragraph" w:styleId="1014" w:customStyle="1">
    <w:name w:val="批注文字1"/>
    <w:basedOn w:val="1015"/>
    <w:link w:val="1016"/>
    <w:uiPriority w:val="99"/>
    <w:unhideWhenUsed/>
    <w:qFormat/>
    <w:pPr>
      <w:jc w:val="left"/>
      <w:spacing w:line="360" w:lineRule="auto"/>
    </w:pPr>
    <w:rPr>
      <w:rFonts w:ascii="Times New Roman" w:hAnsi="Times New Roman"/>
      <w:sz w:val="24"/>
      <w:szCs w:val="24"/>
      <w:lang w:eastAsia="en-US"/>
    </w:rPr>
  </w:style>
  <w:style w:type="paragraph" w:styleId="1015" w:customStyle="1">
    <w:name w:val="Normal_13"/>
    <w:uiPriority w:val="0"/>
    <w:qFormat/>
    <w:pPr>
      <w:jc w:val="both"/>
      <w:widowControl w:val="off"/>
    </w:pPr>
    <w:rPr>
      <w:rFonts w:hint="default" w:ascii="Calibri" w:hAnsi="Calibri" w:eastAsia="宋体" w:cs="Times New Roman"/>
      <w:sz w:val="21"/>
      <w:szCs w:val="22"/>
    </w:rPr>
  </w:style>
  <w:style w:type="character" w:styleId="1016" w:customStyle="1">
    <w:name w:val="批注文字 Char"/>
    <w:link w:val="1014"/>
    <w:uiPriority w:val="99"/>
    <w:qFormat/>
    <w:rPr>
      <w:rFonts w:ascii="Times New Roman" w:hAnsi="Times New Roman"/>
      <w:sz w:val="24"/>
      <w:szCs w:val="24"/>
    </w:rPr>
  </w:style>
  <w:style w:type="paragraph" w:styleId="1017" w:customStyle="1">
    <w:name w:val="正文文本2"/>
    <w:basedOn w:val="770"/>
    <w:next w:val="770"/>
    <w:link w:val="1018"/>
    <w:uiPriority w:val="0"/>
    <w:qFormat/>
    <w:rPr>
      <w:rFonts w:ascii="楷体_GB2312" w:hAnsi="Arial" w:eastAsia="楷体_GB2312"/>
      <w:sz w:val="28"/>
      <w:szCs w:val="20"/>
      <w:lang w:eastAsia="en-US"/>
    </w:rPr>
  </w:style>
  <w:style w:type="character" w:styleId="1018" w:customStyle="1">
    <w:name w:val="正文文本 Char"/>
    <w:link w:val="1017"/>
    <w:uiPriority w:val="0"/>
    <w:qFormat/>
    <w:rPr>
      <w:rFonts w:ascii="楷体_GB2312" w:hAnsi="Arial" w:eastAsia="楷体_GB2312" w:cs="Times New Roman"/>
      <w:sz w:val="28"/>
      <w:szCs w:val="20"/>
    </w:rPr>
  </w:style>
  <w:style w:type="paragraph" w:styleId="1019" w:customStyle="1">
    <w:name w:val="正文文本缩进1"/>
    <w:basedOn w:val="770"/>
    <w:link w:val="1020"/>
    <w:uiPriority w:val="99"/>
    <w:unhideWhenUsed/>
    <w:qFormat/>
    <w:pPr>
      <w:ind w:left="420"/>
      <w:spacing w:after="120"/>
    </w:pPr>
  </w:style>
  <w:style w:type="character" w:styleId="1020" w:customStyle="1">
    <w:name w:val="正文文本缩进 Char"/>
    <w:link w:val="1019"/>
    <w:uiPriority w:val="99"/>
    <w:semiHidden/>
    <w:qFormat/>
  </w:style>
  <w:style w:type="paragraph" w:styleId="1021" w:customStyle="1">
    <w:name w:val="列表接续1"/>
    <w:basedOn w:val="770"/>
    <w:uiPriority w:val="99"/>
    <w:unhideWhenUsed/>
    <w:qFormat/>
    <w:pPr>
      <w:contextualSpacing/>
      <w:ind w:left="420"/>
      <w:spacing w:after="120"/>
    </w:pPr>
  </w:style>
  <w:style w:type="paragraph" w:styleId="1022" w:customStyle="1">
    <w:name w:val="文本块1"/>
    <w:basedOn w:val="770"/>
    <w:uiPriority w:val="0"/>
    <w:qFormat/>
    <w:pPr>
      <w:ind w:left="630" w:right="630"/>
      <w:jc w:val="center"/>
    </w:pPr>
    <w:rPr>
      <w:rFonts w:ascii="宋体"/>
      <w:b/>
      <w:sz w:val="32"/>
      <w:szCs w:val="24"/>
    </w:rPr>
  </w:style>
  <w:style w:type="paragraph" w:styleId="1023" w:customStyle="1">
    <w:name w:val="目录 31"/>
    <w:basedOn w:val="770"/>
    <w:next w:val="770"/>
    <w:uiPriority w:val="39"/>
    <w:qFormat/>
    <w:pPr>
      <w:ind w:left="420"/>
      <w:jc w:val="left"/>
    </w:pPr>
    <w:rPr>
      <w:iCs/>
      <w:szCs w:val="24"/>
    </w:rPr>
  </w:style>
  <w:style w:type="paragraph" w:styleId="1024" w:customStyle="1">
    <w:name w:val="纯文本1"/>
    <w:basedOn w:val="770"/>
    <w:link w:val="1025"/>
    <w:uiPriority w:val="0"/>
    <w:qFormat/>
    <w:rPr>
      <w:rFonts w:ascii="宋体" w:hAnsi="Courier New"/>
      <w:sz w:val="20"/>
      <w:szCs w:val="21"/>
      <w:lang w:eastAsia="en-US"/>
    </w:rPr>
  </w:style>
  <w:style w:type="character" w:styleId="1025" w:customStyle="1">
    <w:name w:val="纯文本 Char1"/>
    <w:link w:val="1024"/>
    <w:uiPriority w:val="0"/>
    <w:qFormat/>
    <w:rPr>
      <w:rFonts w:ascii="宋体" w:hAnsi="Courier New" w:cs="Courier New"/>
      <w:szCs w:val="21"/>
    </w:rPr>
  </w:style>
  <w:style w:type="paragraph" w:styleId="1026" w:customStyle="1">
    <w:name w:val="日期1"/>
    <w:basedOn w:val="770"/>
    <w:next w:val="770"/>
    <w:link w:val="1027"/>
    <w:uiPriority w:val="0"/>
    <w:qFormat/>
    <w:pPr>
      <w:ind w:left="100"/>
    </w:pPr>
    <w:rPr>
      <w:rFonts w:ascii="仿宋_GB2312" w:eastAsia="仿宋_GB2312"/>
      <w:b/>
      <w:sz w:val="36"/>
      <w:szCs w:val="24"/>
      <w:lang w:eastAsia="en-US"/>
    </w:rPr>
  </w:style>
  <w:style w:type="character" w:styleId="1027" w:customStyle="1">
    <w:name w:val="日期 Char"/>
    <w:link w:val="1026"/>
    <w:uiPriority w:val="0"/>
    <w:qFormat/>
    <w:rPr>
      <w:rFonts w:ascii="仿宋_GB2312" w:hAnsi="Times New Roman" w:eastAsia="仿宋_GB2312" w:cs="Times New Roman"/>
      <w:b/>
      <w:sz w:val="36"/>
      <w:szCs w:val="24"/>
    </w:rPr>
  </w:style>
  <w:style w:type="paragraph" w:styleId="1028" w:customStyle="1">
    <w:name w:val="批注框文本1"/>
    <w:basedOn w:val="770"/>
    <w:link w:val="1029"/>
    <w:uiPriority w:val="99"/>
    <w:unhideWhenUsed/>
    <w:qFormat/>
    <w:rPr>
      <w:sz w:val="18"/>
      <w:szCs w:val="18"/>
      <w:lang w:eastAsia="en-US"/>
    </w:rPr>
  </w:style>
  <w:style w:type="character" w:styleId="1029" w:customStyle="1">
    <w:name w:val="批注框文本 Char"/>
    <w:link w:val="1028"/>
    <w:uiPriority w:val="99"/>
    <w:semiHidden/>
    <w:qFormat/>
    <w:rPr>
      <w:sz w:val="18"/>
      <w:szCs w:val="18"/>
    </w:rPr>
  </w:style>
  <w:style w:type="paragraph" w:styleId="1030" w:customStyle="1">
    <w:name w:val="页脚1"/>
    <w:basedOn w:val="770"/>
    <w:link w:val="1031"/>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031" w:customStyle="1">
    <w:name w:val="页脚 Char"/>
    <w:link w:val="1030"/>
    <w:uiPriority w:val="99"/>
    <w:qFormat/>
    <w:rPr>
      <w:sz w:val="18"/>
      <w:szCs w:val="18"/>
    </w:rPr>
  </w:style>
  <w:style w:type="paragraph" w:styleId="1032" w:customStyle="1">
    <w:name w:val="页眉1"/>
    <w:basedOn w:val="770"/>
    <w:link w:val="1033"/>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033" w:customStyle="1">
    <w:name w:val="页眉 Char"/>
    <w:link w:val="1032"/>
    <w:uiPriority w:val="99"/>
    <w:qFormat/>
    <w:rPr>
      <w:sz w:val="18"/>
      <w:szCs w:val="18"/>
    </w:rPr>
  </w:style>
  <w:style w:type="paragraph" w:styleId="1034" w:customStyle="1">
    <w:name w:val="目录 11"/>
    <w:basedOn w:val="770"/>
    <w:next w:val="770"/>
    <w:uiPriority w:val="39"/>
    <w:qFormat/>
    <w:pPr>
      <w:jc w:val="left"/>
      <w:spacing w:before="120" w:after="120"/>
    </w:pPr>
    <w:rPr>
      <w:rFonts w:ascii="楷体_GB2312"/>
      <w:b/>
      <w:bCs/>
      <w:caps/>
      <w:sz w:val="44"/>
      <w:szCs w:val="44"/>
    </w:rPr>
  </w:style>
  <w:style w:type="paragraph" w:styleId="1035" w:customStyle="1">
    <w:name w:val="正文文本缩进 31"/>
    <w:basedOn w:val="770"/>
    <w:link w:val="1036"/>
    <w:uiPriority w:val="99"/>
    <w:unhideWhenUsed/>
    <w:qFormat/>
    <w:pPr>
      <w:ind w:left="420"/>
      <w:spacing w:after="120"/>
    </w:pPr>
    <w:rPr>
      <w:sz w:val="16"/>
      <w:szCs w:val="16"/>
      <w:lang w:eastAsia="en-US"/>
    </w:rPr>
  </w:style>
  <w:style w:type="character" w:styleId="1036" w:customStyle="1">
    <w:name w:val="正文文本缩进 3 Char"/>
    <w:link w:val="1035"/>
    <w:uiPriority w:val="99"/>
    <w:semiHidden/>
    <w:qFormat/>
    <w:rPr>
      <w:sz w:val="16"/>
      <w:szCs w:val="16"/>
    </w:rPr>
  </w:style>
  <w:style w:type="paragraph" w:styleId="1037" w:customStyle="1">
    <w:name w:val="目录 21"/>
    <w:basedOn w:val="770"/>
    <w:next w:val="770"/>
    <w:uiPriority w:val="39"/>
    <w:unhideWhenUsed/>
    <w:qFormat/>
    <w:pPr>
      <w:ind w:left="200"/>
    </w:pPr>
  </w:style>
  <w:style w:type="paragraph" w:styleId="1038" w:customStyle="1">
    <w:name w:val="普通(网站)11"/>
    <w:basedOn w:val="770"/>
    <w:link w:val="1039"/>
    <w:uiPriority w:val="0"/>
    <w:qFormat/>
    <w:pPr>
      <w:jc w:val="left"/>
      <w:spacing w:before="100" w:beforeAutospacing="1" w:after="100" w:afterAutospacing="1"/>
      <w:widowControl/>
    </w:pPr>
    <w:rPr>
      <w:rFonts w:ascii="宋体" w:hAnsi="宋体"/>
      <w:color w:val="000000"/>
      <w:sz w:val="24"/>
      <w:szCs w:val="24"/>
      <w:lang w:eastAsia="en-US"/>
    </w:rPr>
  </w:style>
  <w:style w:type="character" w:styleId="1039" w:customStyle="1">
    <w:name w:val="普通(网站) Char"/>
    <w:link w:val="1038"/>
    <w:uiPriority w:val="0"/>
    <w:qFormat/>
    <w:rPr>
      <w:rFonts w:ascii="宋体" w:hAnsi="宋体" w:eastAsia="宋体" w:cs="宋体"/>
      <w:color w:val="000000"/>
      <w:sz w:val="24"/>
      <w:szCs w:val="24"/>
    </w:rPr>
  </w:style>
  <w:style w:type="table" w:styleId="1040" w:customStyle="1">
    <w:name w:val="网格型1"/>
    <w:basedOn w:val="1010"/>
    <w:uiPriority w:val="59"/>
    <w:qFormat/>
    <w:tblPr/>
  </w:style>
  <w:style w:type="character" w:styleId="1041" w:customStyle="1">
    <w:name w:val="页码1"/>
    <w:uiPriority w:val="0"/>
    <w:qFormat/>
  </w:style>
  <w:style w:type="character" w:styleId="1042" w:customStyle="1">
    <w:name w:val="超链接1"/>
    <w:uiPriority w:val="99"/>
    <w:qFormat/>
    <w:rPr>
      <w:color w:val="0000ff"/>
      <w:u w:val="single"/>
    </w:rPr>
  </w:style>
  <w:style w:type="paragraph" w:styleId="1043" w:customStyle="1">
    <w:name w:val="列出段落1"/>
    <w:basedOn w:val="770"/>
    <w:uiPriority w:val="34"/>
    <w:qFormat/>
    <w:pPr>
      <w:ind w:firstLine="420"/>
    </w:pPr>
    <w:rPr>
      <w:rFonts w:ascii="等线" w:hAnsi="等线" w:eastAsia="等线" w:cs="宋体"/>
    </w:rPr>
  </w:style>
  <w:style w:type="character" w:styleId="1044" w:customStyle="1">
    <w:name w:val="htd0"/>
    <w:uiPriority w:val="0"/>
    <w:qFormat/>
  </w:style>
  <w:style w:type="paragraph" w:styleId="1045"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1046" w:customStyle="1">
    <w:name w:val="正文缩进 Char3"/>
    <w:uiPriority w:val="0"/>
    <w:qFormat/>
    <w:rPr>
      <w:rFonts w:ascii="Times New Roman" w:hAnsi="Times New Roman" w:eastAsia="宋体" w:cs="Times New Roman"/>
      <w:szCs w:val="24"/>
    </w:rPr>
  </w:style>
  <w:style w:type="character" w:styleId="1047" w:customStyle="1">
    <w:name w:val="纯文本 Char"/>
    <w:uiPriority w:val="99"/>
    <w:semiHidden/>
    <w:qFormat/>
    <w:rPr>
      <w:rFonts w:ascii="宋体" w:hAnsi="Courier New" w:eastAsia="宋体" w:cs="Courier New"/>
      <w:szCs w:val="21"/>
    </w:rPr>
  </w:style>
  <w:style w:type="paragraph" w:styleId="1048" w:customStyle="1">
    <w:name w:val="Andy_正文格式"/>
    <w:basedOn w:val="770"/>
    <w:uiPriority w:val="0"/>
    <w:qFormat/>
    <w:pPr>
      <w:ind w:firstLine="560"/>
      <w:jc w:val="left"/>
    </w:pPr>
    <w:rPr>
      <w:rFonts w:ascii="仿宋_GB2312" w:eastAsia="仿宋_GB2312"/>
      <w:sz w:val="28"/>
      <w:szCs w:val="28"/>
    </w:rPr>
  </w:style>
  <w:style w:type="character" w:styleId="1049" w:customStyle="1">
    <w:name w:val="p141"/>
    <w:uiPriority w:val="0"/>
    <w:qFormat/>
    <w:rPr>
      <w:rFonts w:ascii="Calibri" w:hAnsi="Calibri" w:eastAsia="宋体" w:cs="宋体"/>
      <w:sz w:val="21"/>
      <w:szCs w:val="21"/>
      <w:lang w:val="en-US" w:eastAsia="zh-CN" w:bidi="ar-SA"/>
    </w:rPr>
  </w:style>
  <w:style w:type="paragraph" w:styleId="1050" w:customStyle="1">
    <w:name w:val="样式 宋体 五号 两端对齐 行距: 单倍行距"/>
    <w:basedOn w:val="770"/>
    <w:uiPriority w:val="0"/>
    <w:qFormat/>
    <w:pPr>
      <w:numPr>
        <w:ilvl w:val="0"/>
        <w:numId w:val="2"/>
      </w:numPr>
      <w:ind w:left="0" w:firstLine="0"/>
    </w:pPr>
    <w:rPr>
      <w:rFonts w:ascii="宋体" w:hAnsi="宋体" w:cs="宋体"/>
      <w:szCs w:val="20"/>
    </w:rPr>
  </w:style>
  <w:style w:type="paragraph" w:styleId="1051" w:customStyle="1">
    <w:name w:val="样式1"/>
    <w:basedOn w:val="770"/>
    <w:uiPriority w:val="0"/>
    <w:qFormat/>
    <w:pPr>
      <w:numPr>
        <w:ilvl w:val="1"/>
        <w:numId w:val="3"/>
      </w:numPr>
    </w:pPr>
    <w:rPr>
      <w:rFonts w:ascii="宋体" w:hAnsi="宋体"/>
      <w:szCs w:val="21"/>
    </w:rPr>
  </w:style>
  <w:style w:type="paragraph" w:styleId="1052" w:customStyle="1">
    <w:name w:val="Char"/>
    <w:basedOn w:val="770"/>
    <w:uiPriority w:val="0"/>
    <w:qFormat/>
    <w:pPr>
      <w:ind w:firstLine="200"/>
      <w:tabs>
        <w:tab w:val="left" w:pos="360" w:leader="none"/>
      </w:tabs>
    </w:pPr>
    <w:rPr>
      <w:sz w:val="28"/>
      <w:szCs w:val="30"/>
    </w:rPr>
  </w:style>
  <w:style w:type="paragraph" w:styleId="1053" w:customStyle="1">
    <w:name w:val="列出段落3"/>
    <w:basedOn w:val="770"/>
    <w:uiPriority w:val="99"/>
    <w:qFormat/>
    <w:pPr>
      <w:ind w:firstLine="420"/>
    </w:pPr>
    <w:rPr>
      <w:rFonts w:ascii="Calibri" w:hAnsi="Calibri"/>
    </w:rPr>
  </w:style>
  <w:style w:type="paragraph" w:styleId="1054" w:customStyle="1">
    <w:name w:val="列出段落11"/>
    <w:basedOn w:val="770"/>
    <w:uiPriority w:val="0"/>
    <w:qFormat/>
    <w:pPr>
      <w:ind w:firstLine="420"/>
    </w:pPr>
    <w:rPr>
      <w:szCs w:val="24"/>
    </w:rPr>
  </w:style>
  <w:style w:type="paragraph" w:styleId="1055" w:customStyle="1">
    <w:name w:val="正文_4"/>
    <w:uiPriority w:val="0"/>
    <w:qFormat/>
    <w:pPr>
      <w:jc w:val="both"/>
      <w:widowControl w:val="off"/>
    </w:pPr>
    <w:rPr>
      <w:rFonts w:hint="default" w:ascii="Times New Roman" w:hAnsi="Times New Roman" w:eastAsia="宋体" w:cs="Times New Roman"/>
      <w:sz w:val="21"/>
      <w:szCs w:val="24"/>
    </w:rPr>
  </w:style>
  <w:style w:type="paragraph" w:styleId="1056" w:customStyle="1">
    <w:name w:val="TOC 标题11"/>
    <w:basedOn w:val="1000"/>
    <w:next w:val="770"/>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57" w:customStyle="1">
    <w:name w:val="htd0_0"/>
    <w:uiPriority w:val="0"/>
    <w:qFormat/>
    <w:rPr>
      <w:rFonts w:ascii="Times New Roman" w:hAnsi="Times New Roman" w:eastAsia="宋体" w:cs="Times New Roman"/>
    </w:rPr>
  </w:style>
  <w:style w:type="paragraph" w:styleId="1058" w:customStyle="1">
    <w:name w:val="Normal_1"/>
    <w:uiPriority w:val="0"/>
    <w:qFormat/>
    <w:pPr>
      <w:jc w:val="both"/>
      <w:widowControl w:val="off"/>
    </w:pPr>
    <w:rPr>
      <w:rFonts w:hint="default" w:ascii="Calibri" w:hAnsi="Calibri" w:eastAsia="宋体" w:cs="Times New Roman"/>
      <w:sz w:val="21"/>
      <w:szCs w:val="24"/>
    </w:rPr>
  </w:style>
  <w:style w:type="character" w:styleId="1059" w:customStyle="1">
    <w:name w:val="titlebody"/>
    <w:uiPriority w:val="0"/>
    <w:qFormat/>
    <w:rPr>
      <w:rFonts w:ascii="宋体" w:hAnsi="宋体" w:eastAsia="宋体" w:cs="宋体"/>
      <w:b/>
      <w:bCs/>
      <w:color w:val="000000"/>
      <w:sz w:val="24"/>
      <w:szCs w:val="24"/>
    </w:rPr>
  </w:style>
  <w:style w:type="paragraph" w:styleId="1060" w:customStyle="1">
    <w:name w:val="Normal_2"/>
    <w:uiPriority w:val="0"/>
    <w:qFormat/>
    <w:rPr>
      <w:rFonts w:hint="default" w:ascii="Times New Roman" w:hAnsi="Times New Roman" w:eastAsia="Times New Roman" w:cs="Times New Roman"/>
      <w:sz w:val="24"/>
      <w:szCs w:val="24"/>
    </w:rPr>
  </w:style>
  <w:style w:type="paragraph" w:styleId="1061" w:customStyle="1">
    <w:name w:val="Normal_3"/>
    <w:uiPriority w:val="0"/>
    <w:qFormat/>
    <w:rPr>
      <w:rFonts w:hint="default" w:ascii="Times New Roman" w:hAnsi="Times New Roman" w:eastAsia="Times New Roman" w:cs="Times New Roman"/>
      <w:sz w:val="24"/>
      <w:szCs w:val="24"/>
    </w:rPr>
  </w:style>
  <w:style w:type="paragraph" w:styleId="1062" w:customStyle="1">
    <w:name w:val="Normal_4"/>
    <w:uiPriority w:val="0"/>
    <w:qFormat/>
    <w:rPr>
      <w:rFonts w:hint="default" w:ascii="Times New Roman" w:hAnsi="Times New Roman" w:eastAsia="Times New Roman" w:cs="Times New Roman"/>
      <w:sz w:val="24"/>
      <w:szCs w:val="24"/>
    </w:rPr>
  </w:style>
  <w:style w:type="paragraph" w:styleId="1063" w:customStyle="1">
    <w:name w:val="Normal_5"/>
    <w:uiPriority w:val="0"/>
    <w:qFormat/>
    <w:rPr>
      <w:rFonts w:hint="default" w:ascii="Times New Roman" w:hAnsi="Times New Roman" w:eastAsia="Times New Roman" w:cs="Times New Roman"/>
      <w:sz w:val="24"/>
      <w:szCs w:val="24"/>
    </w:rPr>
  </w:style>
  <w:style w:type="paragraph" w:styleId="1064" w:customStyle="1">
    <w:name w:val="Normal_6"/>
    <w:uiPriority w:val="0"/>
    <w:qFormat/>
    <w:rPr>
      <w:rFonts w:hint="default" w:ascii="Times New Roman" w:hAnsi="Times New Roman" w:eastAsia="Times New Roman" w:cs="Times New Roman"/>
      <w:sz w:val="24"/>
      <w:szCs w:val="24"/>
    </w:rPr>
  </w:style>
  <w:style w:type="paragraph" w:styleId="1065" w:customStyle="1">
    <w:name w:val="Normal_7"/>
    <w:uiPriority w:val="0"/>
    <w:qFormat/>
    <w:rPr>
      <w:rFonts w:hint="default" w:ascii="Times New Roman" w:hAnsi="Times New Roman" w:eastAsia="Times New Roman" w:cs="Times New Roman"/>
      <w:sz w:val="24"/>
      <w:szCs w:val="24"/>
    </w:rPr>
  </w:style>
  <w:style w:type="paragraph" w:styleId="1066" w:customStyle="1">
    <w:name w:val="Normal_8"/>
    <w:uiPriority w:val="0"/>
    <w:qFormat/>
    <w:rPr>
      <w:rFonts w:hint="default" w:ascii="Times New Roman" w:hAnsi="Times New Roman" w:eastAsia="Times New Roman" w:cs="Times New Roman"/>
      <w:sz w:val="24"/>
      <w:szCs w:val="24"/>
    </w:rPr>
  </w:style>
  <w:style w:type="paragraph" w:styleId="1067" w:customStyle="1">
    <w:name w:val="Normal_0_0"/>
    <w:uiPriority w:val="0"/>
    <w:qFormat/>
    <w:rPr>
      <w:rFonts w:hint="default" w:ascii="Times New Roman" w:hAnsi="Times New Roman" w:eastAsia="Times New Roman" w:cs="Times New Roman"/>
      <w:sz w:val="24"/>
      <w:szCs w:val="24"/>
    </w:rPr>
  </w:style>
  <w:style w:type="paragraph" w:styleId="1068" w:customStyle="1">
    <w:name w:val="Normal_1_0"/>
    <w:uiPriority w:val="0"/>
    <w:qFormat/>
    <w:rPr>
      <w:rFonts w:hint="default" w:ascii="Times New Roman" w:hAnsi="Times New Roman" w:eastAsia="Times New Roman" w:cs="Times New Roman"/>
      <w:sz w:val="24"/>
      <w:szCs w:val="24"/>
    </w:rPr>
  </w:style>
  <w:style w:type="paragraph" w:styleId="1069" w:customStyle="1">
    <w:name w:val="Normal_2_0"/>
    <w:uiPriority w:val="0"/>
    <w:qFormat/>
    <w:rPr>
      <w:rFonts w:hint="default" w:ascii="Times New Roman" w:hAnsi="Times New Roman" w:eastAsia="Times New Roman" w:cs="Times New Roman"/>
      <w:sz w:val="24"/>
      <w:szCs w:val="24"/>
    </w:rPr>
  </w:style>
  <w:style w:type="paragraph" w:styleId="1070" w:customStyle="1">
    <w:name w:val="Normal_3_0"/>
    <w:uiPriority w:val="0"/>
    <w:qFormat/>
    <w:rPr>
      <w:rFonts w:hint="default" w:ascii="Times New Roman" w:hAnsi="Times New Roman" w:eastAsia="Times New Roman" w:cs="Times New Roman"/>
      <w:sz w:val="24"/>
      <w:szCs w:val="24"/>
    </w:rPr>
  </w:style>
  <w:style w:type="paragraph" w:styleId="1071" w:customStyle="1">
    <w:name w:val="Normal_4_0"/>
    <w:uiPriority w:val="0"/>
    <w:qFormat/>
    <w:rPr>
      <w:rFonts w:hint="default" w:ascii="Times New Roman" w:hAnsi="Times New Roman" w:eastAsia="Times New Roman" w:cs="Times New Roman"/>
      <w:sz w:val="24"/>
      <w:szCs w:val="24"/>
    </w:rPr>
  </w:style>
  <w:style w:type="paragraph" w:styleId="1072" w:customStyle="1">
    <w:name w:val="Normal_5_0"/>
    <w:uiPriority w:val="0"/>
    <w:qFormat/>
    <w:rPr>
      <w:rFonts w:hint="default" w:ascii="Times New Roman" w:hAnsi="Times New Roman" w:eastAsia="Times New Roman" w:cs="Times New Roman"/>
      <w:sz w:val="24"/>
      <w:szCs w:val="24"/>
    </w:rPr>
  </w:style>
  <w:style w:type="paragraph" w:styleId="1073" w:customStyle="1">
    <w:name w:val="Normal_6_0"/>
    <w:uiPriority w:val="0"/>
    <w:qFormat/>
    <w:rPr>
      <w:rFonts w:hint="default" w:ascii="Times New Roman" w:hAnsi="Times New Roman" w:eastAsia="Times New Roman" w:cs="Times New Roman"/>
      <w:sz w:val="24"/>
      <w:szCs w:val="24"/>
    </w:rPr>
  </w:style>
  <w:style w:type="paragraph" w:styleId="1074" w:customStyle="1">
    <w:name w:val="正文_1"/>
    <w:uiPriority w:val="0"/>
    <w:qFormat/>
    <w:pPr>
      <w:jc w:val="both"/>
      <w:widowControl w:val="off"/>
    </w:pPr>
    <w:rPr>
      <w:rFonts w:hint="default" w:ascii="Times New Roman" w:hAnsi="Times New Roman" w:eastAsia="宋体" w:cs="Times New Roman"/>
      <w:sz w:val="21"/>
      <w:szCs w:val="22"/>
    </w:rPr>
  </w:style>
  <w:style w:type="paragraph" w:styleId="1075" w:customStyle="1">
    <w:name w:val="Normal_7_0"/>
    <w:uiPriority w:val="0"/>
    <w:qFormat/>
    <w:rPr>
      <w:rFonts w:hint="default" w:ascii="Times New Roman" w:hAnsi="Times New Roman" w:eastAsia="Times New Roman" w:cs="Times New Roman"/>
      <w:sz w:val="24"/>
      <w:szCs w:val="24"/>
    </w:rPr>
  </w:style>
  <w:style w:type="paragraph" w:styleId="1076" w:customStyle="1">
    <w:name w:val="Normal_8_0"/>
    <w:uiPriority w:val="0"/>
    <w:qFormat/>
    <w:rPr>
      <w:rFonts w:hint="default" w:ascii="Times New Roman" w:hAnsi="Times New Roman" w:eastAsia="Times New Roman" w:cs="Times New Roman"/>
      <w:sz w:val="24"/>
      <w:szCs w:val="24"/>
    </w:rPr>
  </w:style>
  <w:style w:type="paragraph" w:styleId="1077" w:customStyle="1">
    <w:name w:val="Normal_9"/>
    <w:uiPriority w:val="0"/>
    <w:qFormat/>
    <w:rPr>
      <w:rFonts w:hint="default" w:ascii="Times New Roman" w:hAnsi="Times New Roman" w:eastAsia="Times New Roman" w:cs="Times New Roman"/>
      <w:sz w:val="24"/>
      <w:szCs w:val="24"/>
    </w:rPr>
  </w:style>
  <w:style w:type="paragraph" w:styleId="1078" w:customStyle="1">
    <w:name w:val="Normal_10"/>
    <w:uiPriority w:val="0"/>
    <w:qFormat/>
    <w:rPr>
      <w:rFonts w:hint="default" w:ascii="Times New Roman" w:hAnsi="Times New Roman" w:eastAsia="Times New Roman" w:cs="Times New Roman"/>
      <w:sz w:val="24"/>
      <w:szCs w:val="24"/>
    </w:rPr>
  </w:style>
  <w:style w:type="paragraph" w:styleId="1079" w:customStyle="1">
    <w:name w:val="Normal_11"/>
    <w:uiPriority w:val="0"/>
    <w:qFormat/>
    <w:rPr>
      <w:rFonts w:hint="default" w:ascii="Times New Roman" w:hAnsi="Times New Roman" w:eastAsia="Times New Roman" w:cs="Times New Roman"/>
      <w:sz w:val="24"/>
      <w:szCs w:val="24"/>
    </w:rPr>
  </w:style>
  <w:style w:type="paragraph" w:styleId="1080" w:customStyle="1">
    <w:name w:val="正文_6"/>
    <w:uiPriority w:val="0"/>
    <w:qFormat/>
    <w:pPr>
      <w:jc w:val="both"/>
      <w:widowControl w:val="off"/>
    </w:pPr>
    <w:rPr>
      <w:rFonts w:hint="default" w:ascii="Calibri" w:hAnsi="Calibri" w:eastAsia="宋体" w:cs="Times New Roman"/>
      <w:sz w:val="21"/>
      <w:szCs w:val="22"/>
    </w:rPr>
  </w:style>
  <w:style w:type="paragraph" w:styleId="1081" w:customStyle="1">
    <w:name w:val="Normal_12"/>
    <w:uiPriority w:val="0"/>
    <w:qFormat/>
    <w:rPr>
      <w:rFonts w:hint="default" w:ascii="Times New Roman" w:hAnsi="Times New Roman" w:eastAsia="Times New Roman" w:cs="Times New Roman"/>
      <w:sz w:val="24"/>
      <w:szCs w:val="24"/>
    </w:rPr>
  </w:style>
  <w:style w:type="paragraph" w:styleId="1082" w:customStyle="1">
    <w:name w:val="Normal_14"/>
    <w:uiPriority w:val="0"/>
    <w:qFormat/>
    <w:rPr>
      <w:rFonts w:hint="default" w:ascii="Times New Roman" w:hAnsi="Times New Roman" w:eastAsia="Times New Roman" w:cs="Times New Roman"/>
      <w:sz w:val="24"/>
      <w:szCs w:val="24"/>
    </w:rPr>
  </w:style>
  <w:style w:type="paragraph" w:styleId="1083" w:customStyle="1">
    <w:name w:val="Normal_15"/>
    <w:uiPriority w:val="0"/>
    <w:qFormat/>
    <w:rPr>
      <w:rFonts w:hint="default" w:ascii="Times New Roman" w:hAnsi="Times New Roman" w:eastAsia="Times New Roman" w:cs="Times New Roman"/>
      <w:sz w:val="24"/>
      <w:szCs w:val="24"/>
    </w:rPr>
  </w:style>
  <w:style w:type="paragraph" w:styleId="1084" w:customStyle="1">
    <w:name w:val="Normal_16"/>
    <w:uiPriority w:val="0"/>
    <w:qFormat/>
    <w:rPr>
      <w:rFonts w:hint="default" w:ascii="Times New Roman" w:hAnsi="Times New Roman" w:eastAsia="Times New Roman" w:cs="Times New Roman"/>
      <w:sz w:val="24"/>
      <w:szCs w:val="24"/>
    </w:rPr>
  </w:style>
  <w:style w:type="paragraph" w:styleId="1085" w:customStyle="1">
    <w:name w:val="Normal_17"/>
    <w:uiPriority w:val="0"/>
    <w:qFormat/>
    <w:rPr>
      <w:rFonts w:hint="default" w:ascii="Times New Roman" w:hAnsi="Times New Roman" w:eastAsia="Times New Roman" w:cs="Times New Roman"/>
      <w:sz w:val="24"/>
      <w:szCs w:val="24"/>
    </w:rPr>
  </w:style>
  <w:style w:type="paragraph" w:styleId="1086" w:customStyle="1">
    <w:name w:val="正文_7"/>
    <w:uiPriority w:val="0"/>
    <w:qFormat/>
    <w:pPr>
      <w:jc w:val="both"/>
      <w:widowControl w:val="off"/>
    </w:pPr>
    <w:rPr>
      <w:rFonts w:hint="default" w:ascii="Calibri" w:hAnsi="Calibri" w:eastAsia="宋体" w:cs="Times New Roman"/>
      <w:sz w:val="21"/>
      <w:szCs w:val="22"/>
    </w:rPr>
  </w:style>
  <w:style w:type="paragraph" w:styleId="1087" w:customStyle="1">
    <w:name w:val="Normal_18"/>
    <w:uiPriority w:val="0"/>
    <w:qFormat/>
    <w:rPr>
      <w:rFonts w:hint="default" w:ascii="Times New Roman" w:hAnsi="Times New Roman" w:eastAsia="Times New Roman" w:cs="Times New Roman"/>
      <w:sz w:val="24"/>
      <w:szCs w:val="24"/>
    </w:rPr>
  </w:style>
  <w:style w:type="paragraph" w:styleId="1088" w:customStyle="1">
    <w:name w:val="正文_8"/>
    <w:uiPriority w:val="0"/>
    <w:qFormat/>
    <w:pPr>
      <w:jc w:val="both"/>
      <w:widowControl w:val="off"/>
    </w:pPr>
    <w:rPr>
      <w:rFonts w:hint="default" w:ascii="Calibri" w:hAnsi="Calibri" w:eastAsia="宋体" w:cs="Times New Roman"/>
      <w:sz w:val="21"/>
      <w:szCs w:val="22"/>
    </w:rPr>
  </w:style>
  <w:style w:type="paragraph" w:styleId="1089" w:customStyle="1">
    <w:name w:val="Normal_19"/>
    <w:uiPriority w:val="0"/>
    <w:qFormat/>
    <w:rPr>
      <w:rFonts w:hint="default" w:ascii="Times New Roman" w:hAnsi="Times New Roman" w:eastAsia="Times New Roman" w:cs="Times New Roman"/>
      <w:sz w:val="24"/>
      <w:szCs w:val="24"/>
    </w:rPr>
  </w:style>
  <w:style w:type="paragraph" w:styleId="1090" w:customStyle="1">
    <w:name w:val="正文_9"/>
    <w:uiPriority w:val="0"/>
    <w:qFormat/>
    <w:pPr>
      <w:jc w:val="both"/>
      <w:widowControl w:val="off"/>
    </w:pPr>
    <w:rPr>
      <w:rFonts w:hint="default" w:ascii="Calibri" w:hAnsi="Calibri" w:eastAsia="宋体" w:cs="Times New Roman"/>
      <w:sz w:val="21"/>
      <w:szCs w:val="22"/>
    </w:rPr>
  </w:style>
  <w:style w:type="paragraph" w:styleId="1091" w:customStyle="1">
    <w:name w:val="Normal_20"/>
    <w:uiPriority w:val="0"/>
    <w:qFormat/>
    <w:rPr>
      <w:rFonts w:hint="default" w:ascii="Times New Roman" w:hAnsi="Times New Roman" w:eastAsia="Times New Roman" w:cs="Times New Roman"/>
      <w:sz w:val="24"/>
      <w:szCs w:val="24"/>
    </w:rPr>
  </w:style>
  <w:style w:type="paragraph" w:styleId="1092" w:customStyle="1">
    <w:name w:val="正文_10"/>
    <w:uiPriority w:val="0"/>
    <w:qFormat/>
    <w:pPr>
      <w:jc w:val="both"/>
      <w:widowControl w:val="off"/>
    </w:pPr>
    <w:rPr>
      <w:rFonts w:hint="default" w:ascii="Calibri" w:hAnsi="Calibri" w:eastAsia="宋体" w:cs="Times New Roman"/>
      <w:sz w:val="21"/>
      <w:szCs w:val="22"/>
    </w:rPr>
  </w:style>
  <w:style w:type="paragraph" w:styleId="1093" w:customStyle="1">
    <w:name w:val="Normal_21"/>
    <w:uiPriority w:val="0"/>
    <w:qFormat/>
    <w:rPr>
      <w:rFonts w:hint="default" w:ascii="Times New Roman" w:hAnsi="Times New Roman" w:eastAsia="Times New Roman" w:cs="Times New Roman"/>
      <w:sz w:val="24"/>
      <w:szCs w:val="24"/>
    </w:rPr>
  </w:style>
  <w:style w:type="paragraph" w:styleId="1094" w:customStyle="1">
    <w:name w:val="Normal_22"/>
    <w:uiPriority w:val="0"/>
    <w:qFormat/>
    <w:rPr>
      <w:rFonts w:hint="default" w:ascii="Times New Roman" w:hAnsi="Times New Roman" w:eastAsia="Times New Roman" w:cs="Times New Roman"/>
      <w:sz w:val="24"/>
      <w:szCs w:val="24"/>
    </w:rPr>
  </w:style>
  <w:style w:type="paragraph" w:styleId="1095" w:customStyle="1">
    <w:name w:val="Normal_23"/>
    <w:uiPriority w:val="0"/>
    <w:qFormat/>
    <w:rPr>
      <w:rFonts w:hint="default" w:ascii="Times New Roman" w:hAnsi="Times New Roman" w:eastAsia="Times New Roman" w:cs="Times New Roman"/>
      <w:sz w:val="24"/>
      <w:szCs w:val="24"/>
    </w:rPr>
  </w:style>
  <w:style w:type="paragraph" w:styleId="1096" w:customStyle="1">
    <w:name w:val="正文_11"/>
    <w:uiPriority w:val="0"/>
    <w:qFormat/>
    <w:pPr>
      <w:jc w:val="both"/>
      <w:widowControl w:val="off"/>
    </w:pPr>
    <w:rPr>
      <w:rFonts w:hint="default" w:ascii="Calibri" w:hAnsi="Calibri" w:eastAsia="宋体" w:cs="Times New Roman"/>
      <w:sz w:val="21"/>
      <w:szCs w:val="22"/>
    </w:rPr>
  </w:style>
  <w:style w:type="paragraph" w:styleId="1097" w:customStyle="1">
    <w:name w:val="Normal_24"/>
    <w:uiPriority w:val="0"/>
    <w:qFormat/>
    <w:rPr>
      <w:rFonts w:hint="default" w:ascii="Times New Roman" w:hAnsi="Times New Roman" w:eastAsia="Times New Roman" w:cs="Times New Roman"/>
      <w:sz w:val="24"/>
      <w:szCs w:val="24"/>
    </w:rPr>
  </w:style>
  <w:style w:type="paragraph" w:styleId="1098" w:customStyle="1">
    <w:name w:val="正文_12"/>
    <w:uiPriority w:val="0"/>
    <w:qFormat/>
    <w:pPr>
      <w:jc w:val="both"/>
      <w:widowControl w:val="off"/>
    </w:pPr>
    <w:rPr>
      <w:rFonts w:hint="default" w:ascii="Calibri" w:hAnsi="Calibri" w:eastAsia="宋体" w:cs="Times New Roman"/>
      <w:sz w:val="21"/>
      <w:szCs w:val="22"/>
    </w:rPr>
  </w:style>
  <w:style w:type="paragraph" w:styleId="1099" w:customStyle="1">
    <w:name w:val="Normal_25"/>
    <w:uiPriority w:val="0"/>
    <w:qFormat/>
    <w:rPr>
      <w:rFonts w:hint="default" w:ascii="Times New Roman" w:hAnsi="Times New Roman" w:eastAsia="Times New Roman" w:cs="Times New Roman"/>
      <w:sz w:val="24"/>
      <w:szCs w:val="24"/>
    </w:rPr>
  </w:style>
  <w:style w:type="paragraph" w:styleId="1100" w:customStyle="1">
    <w:name w:val="Normal_26"/>
    <w:uiPriority w:val="0"/>
    <w:qFormat/>
    <w:rPr>
      <w:rFonts w:hint="default" w:ascii="Times New Roman" w:hAnsi="Times New Roman" w:eastAsia="Times New Roman" w:cs="Times New Roman"/>
      <w:sz w:val="24"/>
      <w:szCs w:val="24"/>
    </w:rPr>
  </w:style>
  <w:style w:type="paragraph" w:styleId="1101" w:customStyle="1">
    <w:name w:val="正文_11_0"/>
    <w:uiPriority w:val="0"/>
    <w:qFormat/>
    <w:pPr>
      <w:jc w:val="both"/>
      <w:widowControl w:val="off"/>
    </w:pPr>
    <w:rPr>
      <w:rFonts w:hint="default" w:ascii="Calibri" w:hAnsi="Calibri" w:eastAsia="宋体" w:cs="Times New Roman"/>
      <w:sz w:val="21"/>
      <w:szCs w:val="22"/>
    </w:rPr>
  </w:style>
  <w:style w:type="paragraph" w:styleId="1102" w:customStyle="1">
    <w:name w:val="正文_13"/>
    <w:uiPriority w:val="0"/>
    <w:qFormat/>
    <w:pPr>
      <w:jc w:val="both"/>
      <w:widowControl w:val="off"/>
    </w:pPr>
    <w:rPr>
      <w:rFonts w:hint="default" w:ascii="Calibri" w:hAnsi="Calibri" w:eastAsia="宋体" w:cs="Times New Roman"/>
      <w:sz w:val="21"/>
      <w:szCs w:val="22"/>
    </w:rPr>
  </w:style>
  <w:style w:type="paragraph" w:styleId="1103" w:customStyle="1">
    <w:name w:val="Normal_27"/>
    <w:uiPriority w:val="0"/>
    <w:qFormat/>
    <w:rPr>
      <w:rFonts w:hint="default" w:ascii="Times New Roman" w:hAnsi="Times New Roman" w:eastAsia="Times New Roman" w:cs="Times New Roman"/>
      <w:sz w:val="24"/>
      <w:szCs w:val="24"/>
    </w:rPr>
  </w:style>
  <w:style w:type="paragraph" w:styleId="1104" w:customStyle="1">
    <w:name w:val="普通(网站)1"/>
    <w:basedOn w:val="770"/>
    <w:uiPriority w:val="0"/>
    <w:qFormat/>
    <w:pPr>
      <w:spacing w:before="100" w:beforeAutospacing="1" w:after="100" w:afterAutospacing="1"/>
    </w:pPr>
    <w:rPr>
      <w:rFonts w:ascii="宋体" w:hAnsi="宋体" w:cs="宋体"/>
      <w:color w:val="000000"/>
    </w:rPr>
  </w:style>
  <w:style w:type="paragraph" w:styleId="1105" w:customStyle="1">
    <w:name w:val="标题1"/>
    <w:basedOn w:val="770"/>
    <w:next w:val="770"/>
    <w:link w:val="1106"/>
    <w:uiPriority w:val="10"/>
    <w:qFormat/>
    <w:pPr>
      <w:jc w:val="center"/>
      <w:spacing w:before="240" w:after="60"/>
      <w:outlineLvl w:val="0"/>
    </w:pPr>
    <w:rPr>
      <w:rFonts w:ascii="Cambria" w:hAnsi="Cambria"/>
      <w:b/>
      <w:bCs/>
      <w:sz w:val="32"/>
      <w:szCs w:val="32"/>
    </w:rPr>
  </w:style>
  <w:style w:type="character" w:styleId="1106" w:customStyle="1">
    <w:name w:val="标题 Char"/>
    <w:link w:val="1105"/>
    <w:uiPriority w:val="0"/>
    <w:qFormat/>
    <w:rPr>
      <w:rFonts w:ascii="Cambria" w:hAnsi="Cambria" w:cs="Times New Roman"/>
      <w:b/>
      <w:bCs/>
      <w:sz w:val="32"/>
      <w:szCs w:val="32"/>
    </w:rPr>
  </w:style>
  <w:style w:type="paragraph" w:styleId="1107" w:customStyle="1">
    <w:name w:val="正文首行缩进1"/>
    <w:basedOn w:val="1017"/>
    <w:link w:val="1108"/>
    <w:uiPriority w:val="99"/>
    <w:unhideWhenUsed/>
    <w:qFormat/>
    <w:pPr>
      <w:ind w:firstLine="420"/>
      <w:spacing w:after="120"/>
    </w:pPr>
    <w:rPr>
      <w:rFonts w:ascii="Times New Roman" w:hAnsi="Times New Roman" w:eastAsia="宋体"/>
      <w:sz w:val="21"/>
      <w:szCs w:val="22"/>
      <w:lang w:eastAsia="zh-CN"/>
    </w:rPr>
  </w:style>
  <w:style w:type="character" w:styleId="1108" w:customStyle="1">
    <w:name w:val="正文首行缩进 Char"/>
    <w:link w:val="1107"/>
    <w:uiPriority w:val="99"/>
    <w:semiHidden/>
    <w:qFormat/>
    <w:rPr>
      <w:rFonts w:ascii="楷体_GB2312" w:hAnsi="Arial" w:eastAsia="楷体_GB2312" w:cs="Times New Roman"/>
      <w:sz w:val="21"/>
      <w:szCs w:val="22"/>
    </w:rPr>
  </w:style>
  <w:style w:type="paragraph" w:styleId="1109" w:customStyle="1">
    <w:name w:val="首行缩进"/>
    <w:basedOn w:val="770"/>
    <w:uiPriority w:val="0"/>
    <w:qFormat/>
    <w:pPr>
      <w:ind w:firstLine="480"/>
    </w:pPr>
    <w:rPr>
      <w:rFonts w:ascii="Calibri" w:hAnsi="Calibri"/>
      <w:szCs w:val="20"/>
      <w:lang w:val="zh-CN"/>
    </w:rPr>
  </w:style>
  <w:style w:type="paragraph" w:styleId="1110" w:customStyle="1">
    <w:name w:val="Footer1"/>
    <w:basedOn w:val="770"/>
    <w:link w:val="1111"/>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111" w:customStyle="1">
    <w:name w:val="页脚 字符"/>
    <w:link w:val="1110"/>
    <w:uiPriority w:val="0"/>
    <w:qFormat/>
    <w:rPr>
      <w:rFonts w:ascii="Arial" w:hAnsi="Arial" w:eastAsia="Arial" w:cs="Arial"/>
      <w:color w:val="000000"/>
      <w:sz w:val="18"/>
      <w:szCs w:val="21"/>
      <w:lang w:eastAsia="en-US"/>
    </w:rPr>
  </w:style>
  <w:style w:type="paragraph" w:styleId="1112" w:customStyle="1">
    <w:name w:val="Header1"/>
    <w:basedOn w:val="770"/>
    <w:link w:val="1113"/>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13" w:customStyle="1">
    <w:name w:val="页眉 字符"/>
    <w:link w:val="1112"/>
    <w:uiPriority w:val="0"/>
    <w:qFormat/>
    <w:rPr>
      <w:rFonts w:ascii="Arial" w:hAnsi="Arial" w:eastAsia="Arial" w:cs="Arial"/>
      <w:color w:val="000000"/>
      <w:sz w:val="18"/>
      <w:szCs w:val="21"/>
      <w:lang w:eastAsia="en-US"/>
    </w:rPr>
  </w:style>
  <w:style w:type="character" w:styleId="1114" w:customStyle="1">
    <w:name w:val="默认段落字体1"/>
    <w:uiPriority w:val="1"/>
    <w:unhideWhenUsed/>
    <w:qFormat/>
  </w:style>
  <w:style w:type="paragraph" w:styleId="1115" w:customStyle="1">
    <w:name w:val="Table Paragraph"/>
    <w:basedOn w:val="770"/>
    <w:uiPriority w:val="1"/>
    <w:qFormat/>
    <w:rPr>
      <w:rFonts w:ascii="宋体" w:hAnsi="宋体" w:cs="宋体"/>
      <w:lang w:val="zh-CN" w:bidi="zh-CN"/>
    </w:rPr>
  </w:style>
  <w:style w:type="paragraph" w:styleId="1116" w:customStyle="1">
    <w:name w:val="正文_0"/>
    <w:basedOn w:val="1074"/>
    <w:next w:val="1117"/>
    <w:uiPriority w:val="0"/>
    <w:qFormat/>
    <w:rPr>
      <w:rFonts w:ascii="Calibri" w:hAnsi="Calibri"/>
    </w:rPr>
  </w:style>
  <w:style w:type="paragraph" w:styleId="1117" w:customStyle="1">
    <w:name w:val="正文文本缩进_0"/>
    <w:basedOn w:val="1116"/>
    <w:uiPriority w:val="0"/>
    <w:qFormat/>
    <w:pPr>
      <w:ind w:firstLine="645"/>
    </w:pPr>
    <w:rPr>
      <w:rFonts w:ascii="楷体_GB2312" w:cs="宋体"/>
      <w:sz w:val="32"/>
      <w:szCs w:val="32"/>
    </w:rPr>
  </w:style>
  <w:style w:type="paragraph" w:styleId="1118" w:customStyle="1">
    <w:name w:val="_Style 5"/>
    <w:basedOn w:val="771"/>
    <w:next w:val="770"/>
    <w:uiPriority w:val="0"/>
    <w:qFormat/>
    <w:pPr>
      <w:spacing w:after="0" w:line="276" w:lineRule="auto"/>
      <w:widowControl/>
      <w:outlineLvl w:val="9"/>
    </w:pPr>
    <w:rPr>
      <w:rFonts w:ascii="Cambria" w:hAnsi="Cambria" w:eastAsia="宋体" w:cs="Times New Roman"/>
      <w:b/>
      <w:color w:val="365f91"/>
      <w:sz w:val="28"/>
      <w:szCs w:val="20"/>
    </w:rPr>
  </w:style>
  <w:style w:type="paragraph" w:styleId="1119" w:customStyle="1">
    <w:name w:val="正文文本缩进11"/>
    <w:basedOn w:val="770"/>
    <w:uiPriority w:val="0"/>
    <w:qFormat/>
    <w:pPr>
      <w:ind w:firstLine="645"/>
    </w:pPr>
    <w:rPr>
      <w:rFonts w:ascii="楷体_GB2312" w:hAnsi="等线" w:eastAsia="楷体_GB2312" w:cs="Arial"/>
      <w:sz w:val="32"/>
    </w:rPr>
  </w:style>
  <w:style w:type="paragraph" w:styleId="1120" w:customStyle="1">
    <w:name w:val="正文缩进11"/>
    <w:basedOn w:val="770"/>
    <w:link w:val="1121"/>
    <w:uiPriority w:val="0"/>
    <w:unhideWhenUsed/>
    <w:qFormat/>
    <w:pPr>
      <w:ind w:firstLine="420"/>
    </w:pPr>
    <w:rPr>
      <w:sz w:val="20"/>
      <w:szCs w:val="24"/>
    </w:rPr>
  </w:style>
  <w:style w:type="character" w:styleId="1121" w:customStyle="1">
    <w:name w:val="正文缩进 Char1"/>
    <w:link w:val="1120"/>
    <w:uiPriority w:val="0"/>
    <w:qFormat/>
    <w:rPr>
      <w:szCs w:val="24"/>
    </w:rPr>
  </w:style>
  <w:style w:type="paragraph" w:styleId="1122" w:customStyle="1">
    <w:name w:val="_Style 4"/>
    <w:basedOn w:val="771"/>
    <w:next w:val="770"/>
    <w:uiPriority w:val="0"/>
    <w:qFormat/>
    <w:pPr>
      <w:outlineLvl w:val="9"/>
    </w:pPr>
  </w:style>
  <w:style w:type="character" w:styleId="1123" w:customStyle="1">
    <w:name w:val="WW8Num36z0"/>
    <w:uiPriority w:val="0"/>
    <w:qFormat/>
    <w:rPr>
      <w:rFonts w:ascii="Wingdings" w:hAnsi="Wingdings" w:cs="StarSymbol"/>
      <w:sz w:val="18"/>
      <w:szCs w:val="18"/>
    </w:rPr>
  </w:style>
  <w:style w:type="character" w:styleId="1124" w:customStyle="1">
    <w:name w:val="Unresolved Mention"/>
    <w:uiPriority w:val="99"/>
    <w:semiHidden/>
    <w:unhideWhenUsed/>
    <w:qFormat/>
    <w:rPr>
      <w:color w:val="605e5c"/>
      <w:shd w:val="clear" w:color="auto" w:fill="e1dfdd"/>
    </w:rPr>
  </w:style>
  <w:style w:type="paragraph" w:styleId="1125" w:customStyle="1">
    <w:name w:val="_Style 6"/>
    <w:basedOn w:val="771"/>
    <w:next w:val="770"/>
    <w:uiPriority w:val="0"/>
    <w:qFormat/>
    <w:pPr>
      <w:outlineLvl w:val="9"/>
    </w:p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BBCDF4F-C965-4ECC-BE48-98F8AF9AD4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凝睿嫣娉</dc:creator>
  <cp:lastModifiedBy>句容分公司</cp:lastModifiedBy>
  <cp:revision>14</cp:revision>
  <dcterms:created xsi:type="dcterms:W3CDTF">2025-05-19T02:18:00Z</dcterms:created>
  <dcterms:modified xsi:type="dcterms:W3CDTF">2025-12-01T08:54:52Z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D8FC6A6C71A349AF9B1772BFEC2FE456_13</vt:lpwstr>
  </property>
  <property fmtid="{D5CDD505-2E9C-101B-9397-08002B2CF9AE}" pid="4" name="KSOTemplateDocerSaveRecord">
    <vt:lpwstr>eyJoZGlkIjoiMzcyODMxYTE0ZTc0ZGU3Y2QwODc3MzYzN2Q1YmNiM2EiLCJ1c2VySWQiOiIyNzM0NDk0MjIifQ==</vt:lpwstr>
  </property>
</Properties>
</file>